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998" w:rsidRDefault="007B7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Dictionary for Public Use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Sample</w:t>
      </w:r>
      <w:r w:rsidR="00AF2A6C">
        <w:rPr>
          <w:rFonts w:ascii="Times New Roman" w:hAnsi="Times New Roman" w:cs="Times New Roman"/>
          <w:sz w:val="24"/>
          <w:szCs w:val="24"/>
        </w:rPr>
        <w:t xml:space="preserve">: </w:t>
      </w:r>
      <w:r w:rsidR="00B56D4D">
        <w:rPr>
          <w:rFonts w:ascii="Times New Roman" w:hAnsi="Times New Roman"/>
          <w:sz w:val="24"/>
        </w:rPr>
        <w:t xml:space="preserve">Office of </w:t>
      </w:r>
      <w:r w:rsidR="0082663C">
        <w:rPr>
          <w:rFonts w:ascii="Times New Roman" w:hAnsi="Times New Roman"/>
          <w:sz w:val="24"/>
        </w:rPr>
        <w:t xml:space="preserve">Public and Indian Housing </w:t>
      </w:r>
      <w:r w:rsidR="00B56D4D">
        <w:rPr>
          <w:rFonts w:ascii="Times New Roman" w:hAnsi="Times New Roman"/>
          <w:sz w:val="24"/>
        </w:rPr>
        <w:t>Programs</w:t>
      </w:r>
    </w:p>
    <w:p w:rsidR="007B7180" w:rsidRPr="00F55F20" w:rsidRDefault="00F55F20">
      <w:pPr>
        <w:rPr>
          <w:rFonts w:ascii="Times New Roman" w:hAnsi="Times New Roman" w:cs="Times New Roman"/>
          <w:b/>
          <w:sz w:val="24"/>
          <w:szCs w:val="24"/>
        </w:rPr>
      </w:pPr>
      <w:r w:rsidRPr="00F55F20">
        <w:rPr>
          <w:rFonts w:ascii="Times New Roman" w:hAnsi="Times New Roman" w:cs="Times New Roman"/>
          <w:b/>
          <w:sz w:val="24"/>
          <w:szCs w:val="24"/>
        </w:rPr>
        <w:t>I.</w:t>
      </w:r>
      <w:r w:rsidR="00AF2A6C" w:rsidRPr="00F55F20">
        <w:rPr>
          <w:rFonts w:ascii="Times New Roman" w:hAnsi="Times New Roman" w:cs="Times New Roman"/>
          <w:b/>
          <w:sz w:val="24"/>
          <w:szCs w:val="24"/>
        </w:rPr>
        <w:t xml:space="preserve"> Data source</w:t>
      </w:r>
    </w:p>
    <w:p w:rsidR="007B7180" w:rsidRPr="007B7180" w:rsidRDefault="00F5685B" w:rsidP="007B718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Household characteristics </w:t>
      </w:r>
      <w:r w:rsidR="007B7180">
        <w:rPr>
          <w:rFonts w:ascii="Times New Roman" w:hAnsi="Times New Roman"/>
          <w:sz w:val="24"/>
        </w:rPr>
        <w:t xml:space="preserve">were extracted from HUD’s </w:t>
      </w:r>
      <w:r w:rsidR="0082663C">
        <w:rPr>
          <w:rFonts w:ascii="Times New Roman" w:hAnsi="Times New Roman"/>
          <w:color w:val="000000"/>
          <w:sz w:val="24"/>
          <w:szCs w:val="36"/>
        </w:rPr>
        <w:t xml:space="preserve">IMS/PIC data system, </w:t>
      </w:r>
      <w:r w:rsidR="007B7180">
        <w:rPr>
          <w:rFonts w:ascii="Times New Roman" w:hAnsi="Times New Roman"/>
          <w:sz w:val="24"/>
        </w:rPr>
        <w:t xml:space="preserve">which contains </w:t>
      </w:r>
      <w:r>
        <w:rPr>
          <w:rFonts w:ascii="Times New Roman" w:hAnsi="Times New Roman"/>
          <w:sz w:val="24"/>
        </w:rPr>
        <w:t xml:space="preserve">program </w:t>
      </w:r>
      <w:r w:rsidR="007B7180">
        <w:rPr>
          <w:rFonts w:ascii="Times New Roman" w:hAnsi="Times New Roman"/>
          <w:sz w:val="24"/>
        </w:rPr>
        <w:t>data on</w:t>
      </w:r>
      <w:r w:rsidRPr="00F5685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rental assistance programs administered by</w:t>
      </w:r>
      <w:r w:rsidR="007B71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the Office of Public and Indian Housing (PIH).</w:t>
      </w:r>
      <w:r>
        <w:rPr>
          <w:rStyle w:val="FootnoteReference"/>
          <w:rFonts w:ascii="Times New Roman" w:hAnsi="Times New Roman"/>
          <w:sz w:val="24"/>
        </w:rPr>
        <w:footnoteReference w:id="1"/>
      </w:r>
      <w:r>
        <w:rPr>
          <w:rFonts w:ascii="Times New Roman" w:hAnsi="Times New Roman"/>
          <w:sz w:val="24"/>
        </w:rPr>
        <w:t xml:space="preserve"> </w:t>
      </w:r>
      <w:r w:rsidR="00AE0997">
        <w:rPr>
          <w:rFonts w:ascii="Times New Roman" w:hAnsi="Times New Roman"/>
          <w:sz w:val="24"/>
        </w:rPr>
        <w:t xml:space="preserve">The Public Use </w:t>
      </w:r>
      <w:proofErr w:type="spellStart"/>
      <w:r w:rsidR="00AE0997">
        <w:rPr>
          <w:rFonts w:ascii="Times New Roman" w:hAnsi="Times New Roman"/>
          <w:sz w:val="24"/>
        </w:rPr>
        <w:t>Microdata</w:t>
      </w:r>
      <w:proofErr w:type="spellEnd"/>
      <w:r w:rsidR="00AE0997">
        <w:rPr>
          <w:rFonts w:ascii="Times New Roman" w:hAnsi="Times New Roman"/>
          <w:sz w:val="24"/>
        </w:rPr>
        <w:t xml:space="preserve"> Sample (PUMS) is </w:t>
      </w:r>
      <w:r w:rsidR="00C72AAA">
        <w:rPr>
          <w:rFonts w:ascii="Times New Roman" w:hAnsi="Times New Roman"/>
          <w:sz w:val="24"/>
        </w:rPr>
        <w:t xml:space="preserve">limited to the </w:t>
      </w:r>
      <w:r w:rsidR="0082663C">
        <w:rPr>
          <w:rFonts w:ascii="Times New Roman" w:hAnsi="Times New Roman"/>
          <w:sz w:val="24"/>
        </w:rPr>
        <w:t xml:space="preserve">two </w:t>
      </w:r>
      <w:r w:rsidR="007B7180">
        <w:rPr>
          <w:rFonts w:ascii="Times New Roman" w:hAnsi="Times New Roman"/>
          <w:sz w:val="24"/>
        </w:rPr>
        <w:t>lar</w:t>
      </w:r>
      <w:r w:rsidR="00C72AAA">
        <w:rPr>
          <w:rFonts w:ascii="Times New Roman" w:hAnsi="Times New Roman"/>
          <w:sz w:val="24"/>
        </w:rPr>
        <w:t xml:space="preserve">gest </w:t>
      </w:r>
      <w:r w:rsidR="0082663C">
        <w:rPr>
          <w:rFonts w:ascii="Times New Roman" w:hAnsi="Times New Roman"/>
          <w:sz w:val="24"/>
        </w:rPr>
        <w:t xml:space="preserve">PIH </w:t>
      </w:r>
      <w:r w:rsidR="00C72AAA">
        <w:rPr>
          <w:rFonts w:ascii="Times New Roman" w:hAnsi="Times New Roman"/>
          <w:sz w:val="24"/>
        </w:rPr>
        <w:t>program</w:t>
      </w:r>
      <w:r w:rsidR="00F55F20">
        <w:rPr>
          <w:rFonts w:ascii="Times New Roman" w:hAnsi="Times New Roman"/>
          <w:sz w:val="24"/>
        </w:rPr>
        <w:t>s</w:t>
      </w:r>
      <w:r w:rsidR="00C72AAA">
        <w:rPr>
          <w:rFonts w:ascii="Times New Roman" w:hAnsi="Times New Roman"/>
          <w:sz w:val="24"/>
        </w:rPr>
        <w:t>:</w:t>
      </w:r>
      <w:r w:rsidR="0082663C">
        <w:rPr>
          <w:rFonts w:ascii="Times New Roman" w:hAnsi="Times New Roman"/>
          <w:sz w:val="24"/>
        </w:rPr>
        <w:t xml:space="preserve"> public housing, and the Housing Choice Voucher Program</w:t>
      </w:r>
      <w:r w:rsidR="00C72AAA">
        <w:rPr>
          <w:rFonts w:ascii="Times New Roman" w:hAnsi="Times New Roman"/>
          <w:sz w:val="24"/>
        </w:rPr>
        <w:t>.</w:t>
      </w:r>
    </w:p>
    <w:p w:rsidR="007B7180" w:rsidRDefault="007B7180" w:rsidP="007B7180">
      <w:pPr>
        <w:rPr>
          <w:rFonts w:ascii="Times New Roman" w:hAnsi="Times New Roman"/>
          <w:sz w:val="24"/>
        </w:rPr>
      </w:pPr>
      <w:r w:rsidRPr="007B7180">
        <w:rPr>
          <w:rFonts w:ascii="Times New Roman" w:hAnsi="Times New Roman"/>
          <w:sz w:val="24"/>
        </w:rPr>
        <w:t xml:space="preserve">The </w:t>
      </w:r>
      <w:r w:rsidR="0082663C">
        <w:rPr>
          <w:rFonts w:ascii="Times New Roman" w:hAnsi="Times New Roman"/>
          <w:sz w:val="24"/>
        </w:rPr>
        <w:t xml:space="preserve">IMS/PIC </w:t>
      </w:r>
      <w:r w:rsidRPr="007B7180">
        <w:rPr>
          <w:rFonts w:ascii="Times New Roman" w:hAnsi="Times New Roman"/>
          <w:sz w:val="24"/>
        </w:rPr>
        <w:t xml:space="preserve">is transaction based. </w:t>
      </w:r>
      <w:r w:rsidR="00AE0997">
        <w:rPr>
          <w:rFonts w:ascii="Times New Roman" w:hAnsi="Times New Roman"/>
          <w:sz w:val="24"/>
        </w:rPr>
        <w:t xml:space="preserve">The PUMS </w:t>
      </w:r>
      <w:r w:rsidR="008B0871">
        <w:rPr>
          <w:rFonts w:ascii="Times New Roman" w:hAnsi="Times New Roman"/>
          <w:sz w:val="24"/>
        </w:rPr>
        <w:t xml:space="preserve">is </w:t>
      </w:r>
      <w:r w:rsidR="00AF2A6C">
        <w:rPr>
          <w:rFonts w:ascii="Times New Roman" w:hAnsi="Times New Roman"/>
          <w:sz w:val="24"/>
        </w:rPr>
        <w:t xml:space="preserve">based on </w:t>
      </w:r>
      <w:r w:rsidR="008B0871">
        <w:rPr>
          <w:rFonts w:ascii="Times New Roman" w:hAnsi="Times New Roman"/>
          <w:sz w:val="24"/>
        </w:rPr>
        <w:t xml:space="preserve">the most recent </w:t>
      </w:r>
      <w:r w:rsidR="00F5685B">
        <w:rPr>
          <w:rFonts w:ascii="Times New Roman" w:hAnsi="Times New Roman"/>
          <w:sz w:val="24"/>
        </w:rPr>
        <w:t xml:space="preserve">tenant certification </w:t>
      </w:r>
      <w:r w:rsidRPr="007B7180">
        <w:rPr>
          <w:rFonts w:ascii="Times New Roman" w:hAnsi="Times New Roman"/>
          <w:sz w:val="24"/>
        </w:rPr>
        <w:t xml:space="preserve">transaction </w:t>
      </w:r>
      <w:r w:rsidR="00AF2A6C">
        <w:rPr>
          <w:rFonts w:ascii="Times New Roman" w:hAnsi="Times New Roman"/>
          <w:sz w:val="24"/>
        </w:rPr>
        <w:t xml:space="preserve">for each household </w:t>
      </w:r>
      <w:r w:rsidRPr="007B7180">
        <w:rPr>
          <w:rFonts w:ascii="Times New Roman" w:hAnsi="Times New Roman"/>
          <w:sz w:val="24"/>
        </w:rPr>
        <w:t xml:space="preserve">at the end </w:t>
      </w:r>
      <w:r w:rsidR="00F5685B">
        <w:rPr>
          <w:rFonts w:ascii="Times New Roman" w:hAnsi="Times New Roman"/>
          <w:sz w:val="24"/>
        </w:rPr>
        <w:t xml:space="preserve">of calendar year </w:t>
      </w:r>
      <w:r w:rsidRPr="007B7180">
        <w:rPr>
          <w:rFonts w:ascii="Times New Roman" w:hAnsi="Times New Roman"/>
          <w:sz w:val="24"/>
        </w:rPr>
        <w:t>2009.</w:t>
      </w:r>
      <w:r w:rsidR="0082663C">
        <w:rPr>
          <w:rFonts w:ascii="Times New Roman" w:hAnsi="Times New Roman"/>
          <w:sz w:val="24"/>
        </w:rPr>
        <w:t xml:space="preserve"> For most housing agencies, the record is at most 18 months old. For Moving to Work housing a</w:t>
      </w:r>
      <w:r w:rsidR="009327BA">
        <w:rPr>
          <w:rFonts w:ascii="Times New Roman" w:hAnsi="Times New Roman"/>
          <w:sz w:val="24"/>
        </w:rPr>
        <w:t>gencies, the record is at most three</w:t>
      </w:r>
      <w:r w:rsidR="0082663C">
        <w:rPr>
          <w:rFonts w:ascii="Times New Roman" w:hAnsi="Times New Roman"/>
          <w:sz w:val="24"/>
        </w:rPr>
        <w:t xml:space="preserve"> years old.</w:t>
      </w:r>
      <w:r w:rsidR="0082663C">
        <w:rPr>
          <w:rStyle w:val="FootnoteReference"/>
          <w:rFonts w:ascii="Times New Roman" w:hAnsi="Times New Roman"/>
          <w:sz w:val="24"/>
        </w:rPr>
        <w:footnoteReference w:id="2"/>
      </w:r>
    </w:p>
    <w:p w:rsidR="00B56D4D" w:rsidRPr="00A36E74" w:rsidRDefault="00A36E74" w:rsidP="007B7180">
      <w:pPr>
        <w:rPr>
          <w:rFonts w:ascii="Times New Roman" w:hAnsi="Times New Roman"/>
          <w:b/>
          <w:sz w:val="24"/>
        </w:rPr>
      </w:pPr>
      <w:r w:rsidRPr="00A36E74">
        <w:rPr>
          <w:rFonts w:ascii="Times New Roman" w:hAnsi="Times New Roman"/>
          <w:b/>
          <w:sz w:val="24"/>
        </w:rPr>
        <w:t>II.</w:t>
      </w:r>
      <w:r w:rsidR="00B56D4D" w:rsidRPr="00A36E74">
        <w:rPr>
          <w:rFonts w:ascii="Times New Roman" w:hAnsi="Times New Roman"/>
          <w:b/>
          <w:sz w:val="24"/>
        </w:rPr>
        <w:t xml:space="preserve"> Sample Design</w:t>
      </w:r>
    </w:p>
    <w:p w:rsidR="00B208A8" w:rsidRDefault="00CF253A" w:rsidP="007B718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PUMS is a 5% sample</w:t>
      </w:r>
      <w:r w:rsidR="00F55F20">
        <w:rPr>
          <w:rFonts w:ascii="Times New Roman" w:hAnsi="Times New Roman"/>
          <w:sz w:val="24"/>
        </w:rPr>
        <w:t>, without replacement,</w:t>
      </w:r>
      <w:r>
        <w:rPr>
          <w:rFonts w:ascii="Times New Roman" w:hAnsi="Times New Roman"/>
          <w:sz w:val="24"/>
        </w:rPr>
        <w:t xml:space="preserve"> of </w:t>
      </w:r>
      <w:r w:rsidR="00C223CF">
        <w:rPr>
          <w:rFonts w:ascii="Times New Roman" w:hAnsi="Times New Roman"/>
          <w:sz w:val="24"/>
        </w:rPr>
        <w:t xml:space="preserve">tenant </w:t>
      </w:r>
      <w:r w:rsidR="005C461D">
        <w:rPr>
          <w:rFonts w:ascii="Times New Roman" w:hAnsi="Times New Roman"/>
          <w:sz w:val="24"/>
        </w:rPr>
        <w:t>records for the 50 states, DC, and Puerto Rico.</w:t>
      </w:r>
      <w:r>
        <w:rPr>
          <w:rFonts w:ascii="Times New Roman" w:hAnsi="Times New Roman"/>
          <w:sz w:val="24"/>
        </w:rPr>
        <w:t xml:space="preserve"> </w:t>
      </w:r>
      <w:r w:rsidR="000069F0">
        <w:rPr>
          <w:rFonts w:ascii="Times New Roman" w:hAnsi="Times New Roman"/>
          <w:sz w:val="24"/>
        </w:rPr>
        <w:t xml:space="preserve">The population consists of </w:t>
      </w:r>
      <w:r w:rsidR="00D6058D">
        <w:rPr>
          <w:rFonts w:ascii="Times New Roman" w:hAnsi="Times New Roman"/>
          <w:sz w:val="24"/>
        </w:rPr>
        <w:t xml:space="preserve">3,256,568 </w:t>
      </w:r>
      <w:r w:rsidR="000069F0">
        <w:rPr>
          <w:rFonts w:ascii="Times New Roman" w:hAnsi="Times New Roman"/>
          <w:sz w:val="24"/>
        </w:rPr>
        <w:t>recor</w:t>
      </w:r>
      <w:r w:rsidR="00D6058D">
        <w:rPr>
          <w:rFonts w:ascii="Times New Roman" w:hAnsi="Times New Roman"/>
          <w:sz w:val="24"/>
        </w:rPr>
        <w:t>ds, and the PUMS contains 162,484</w:t>
      </w:r>
      <w:r w:rsidR="000069F0">
        <w:rPr>
          <w:rFonts w:ascii="Times New Roman" w:hAnsi="Times New Roman"/>
          <w:sz w:val="24"/>
        </w:rPr>
        <w:t xml:space="preserve"> records. </w:t>
      </w:r>
      <w:r w:rsidRPr="00967FA9">
        <w:rPr>
          <w:rFonts w:ascii="Times New Roman" w:hAnsi="Times New Roman"/>
          <w:sz w:val="24"/>
        </w:rPr>
        <w:t>The s</w:t>
      </w:r>
      <w:r>
        <w:rPr>
          <w:rFonts w:ascii="Times New Roman" w:hAnsi="Times New Roman"/>
          <w:sz w:val="24"/>
        </w:rPr>
        <w:t xml:space="preserve">ample is stratified </w:t>
      </w:r>
      <w:r w:rsidR="005C461D">
        <w:rPr>
          <w:rFonts w:ascii="Times New Roman" w:hAnsi="Times New Roman"/>
          <w:sz w:val="24"/>
        </w:rPr>
        <w:t xml:space="preserve">by </w:t>
      </w:r>
      <w:r w:rsidRPr="00967FA9">
        <w:rPr>
          <w:rFonts w:ascii="Times New Roman" w:hAnsi="Times New Roman"/>
          <w:sz w:val="24"/>
        </w:rPr>
        <w:t>state</w:t>
      </w:r>
      <w:r>
        <w:rPr>
          <w:rFonts w:ascii="Times New Roman" w:hAnsi="Times New Roman"/>
          <w:sz w:val="24"/>
        </w:rPr>
        <w:t xml:space="preserve"> and program.</w:t>
      </w:r>
      <w:r w:rsidRPr="00967FA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The sample contains approximately</w:t>
      </w:r>
      <w:r w:rsidR="00A36E74">
        <w:rPr>
          <w:rFonts w:ascii="Times New Roman" w:hAnsi="Times New Roman"/>
          <w:sz w:val="24"/>
        </w:rPr>
        <w:t xml:space="preserve"> 5% of records for each </w:t>
      </w:r>
      <w:proofErr w:type="gramStart"/>
      <w:r w:rsidR="00A36E74">
        <w:rPr>
          <w:rFonts w:ascii="Times New Roman" w:hAnsi="Times New Roman"/>
          <w:sz w:val="24"/>
        </w:rPr>
        <w:t>strata</w:t>
      </w:r>
      <w:proofErr w:type="gramEnd"/>
      <w:r w:rsidR="00A36E74">
        <w:rPr>
          <w:rFonts w:ascii="Times New Roman" w:hAnsi="Times New Roman"/>
          <w:sz w:val="24"/>
        </w:rPr>
        <w:t>.</w:t>
      </w:r>
    </w:p>
    <w:p w:rsidR="00CF253A" w:rsidRDefault="00CF253A" w:rsidP="007B7180">
      <w:pPr>
        <w:rPr>
          <w:rFonts w:ascii="Times New Roman" w:hAnsi="Times New Roman"/>
          <w:sz w:val="24"/>
        </w:rPr>
      </w:pPr>
      <w:r w:rsidRPr="00967FA9">
        <w:rPr>
          <w:rFonts w:ascii="Times New Roman" w:hAnsi="Times New Roman"/>
          <w:sz w:val="24"/>
        </w:rPr>
        <w:t>The pr</w:t>
      </w:r>
      <w:r w:rsidR="00BA08E6">
        <w:rPr>
          <w:rFonts w:ascii="Times New Roman" w:hAnsi="Times New Roman"/>
          <w:sz w:val="24"/>
        </w:rPr>
        <w:t xml:space="preserve">ecise sample size for each </w:t>
      </w:r>
      <w:proofErr w:type="gramStart"/>
      <w:r w:rsidR="00BA08E6">
        <w:rPr>
          <w:rFonts w:ascii="Times New Roman" w:hAnsi="Times New Roman"/>
          <w:sz w:val="24"/>
        </w:rPr>
        <w:t>strata</w:t>
      </w:r>
      <w:proofErr w:type="gramEnd"/>
      <w:r w:rsidR="00355386">
        <w:rPr>
          <w:rFonts w:ascii="Times New Roman" w:hAnsi="Times New Roman"/>
          <w:sz w:val="24"/>
        </w:rPr>
        <w:t xml:space="preserve"> was determined by </w:t>
      </w:r>
      <w:proofErr w:type="spellStart"/>
      <w:r w:rsidR="00BA08E6">
        <w:rPr>
          <w:rFonts w:ascii="Times New Roman" w:hAnsi="Times New Roman"/>
          <w:sz w:val="24"/>
        </w:rPr>
        <w:t>Neyman</w:t>
      </w:r>
      <w:proofErr w:type="spellEnd"/>
      <w:r w:rsidR="00BA08E6">
        <w:rPr>
          <w:rFonts w:ascii="Times New Roman" w:hAnsi="Times New Roman"/>
          <w:sz w:val="24"/>
        </w:rPr>
        <w:t xml:space="preserve"> Allocation, a statistical method giving</w:t>
      </w:r>
      <w:r w:rsidRPr="00967FA9">
        <w:rPr>
          <w:rFonts w:ascii="Times New Roman" w:hAnsi="Times New Roman"/>
          <w:sz w:val="24"/>
        </w:rPr>
        <w:t xml:space="preserve"> </w:t>
      </w:r>
      <w:r w:rsidR="00BA08E6">
        <w:rPr>
          <w:rFonts w:ascii="Times New Roman" w:hAnsi="Times New Roman"/>
          <w:sz w:val="24"/>
        </w:rPr>
        <w:t>a greater sample size for strata</w:t>
      </w:r>
      <w:r w:rsidRPr="00967FA9">
        <w:rPr>
          <w:rFonts w:ascii="Times New Roman" w:hAnsi="Times New Roman"/>
          <w:sz w:val="24"/>
        </w:rPr>
        <w:t xml:space="preserve"> with more diverse populations.</w:t>
      </w:r>
      <w:r w:rsidR="00F55F20">
        <w:rPr>
          <w:rStyle w:val="FootnoteReference"/>
          <w:rFonts w:ascii="Times New Roman" w:hAnsi="Times New Roman"/>
          <w:sz w:val="24"/>
        </w:rPr>
        <w:footnoteReference w:id="3"/>
      </w:r>
      <w:r w:rsidRPr="00967FA9">
        <w:rPr>
          <w:rFonts w:ascii="Times New Roman" w:hAnsi="Times New Roman"/>
          <w:sz w:val="24"/>
        </w:rPr>
        <w:t xml:space="preserve"> </w:t>
      </w:r>
      <w:r w:rsidR="00073C32">
        <w:rPr>
          <w:rFonts w:ascii="Times New Roman" w:hAnsi="Times New Roman"/>
          <w:sz w:val="24"/>
        </w:rPr>
        <w:t xml:space="preserve">The standard deviation of adjusted household income was </w:t>
      </w:r>
      <w:r w:rsidR="00B208A8">
        <w:rPr>
          <w:rFonts w:ascii="Times New Roman" w:hAnsi="Times New Roman"/>
          <w:sz w:val="24"/>
        </w:rPr>
        <w:t xml:space="preserve">used </w:t>
      </w:r>
      <w:r w:rsidR="00073C32">
        <w:rPr>
          <w:rFonts w:ascii="Times New Roman" w:hAnsi="Times New Roman"/>
          <w:sz w:val="24"/>
        </w:rPr>
        <w:t xml:space="preserve">as a proxy for diversity. </w:t>
      </w:r>
      <w:r w:rsidR="00BA08E6">
        <w:rPr>
          <w:rFonts w:ascii="Times New Roman" w:hAnsi="Times New Roman"/>
          <w:sz w:val="24"/>
        </w:rPr>
        <w:t xml:space="preserve">The sample for each </w:t>
      </w:r>
      <w:proofErr w:type="gramStart"/>
      <w:r w:rsidR="00BA08E6">
        <w:rPr>
          <w:rFonts w:ascii="Times New Roman" w:hAnsi="Times New Roman"/>
          <w:sz w:val="24"/>
        </w:rPr>
        <w:t>strata</w:t>
      </w:r>
      <w:proofErr w:type="gramEnd"/>
      <w:r w:rsidR="00BA08E6">
        <w:rPr>
          <w:rFonts w:ascii="Times New Roman" w:hAnsi="Times New Roman"/>
          <w:sz w:val="24"/>
        </w:rPr>
        <w:t xml:space="preserve"> is proportional to </w:t>
      </w:r>
      <w:r w:rsidR="00C223CF">
        <w:rPr>
          <w:rFonts w:ascii="Times New Roman" w:hAnsi="Times New Roman"/>
          <w:sz w:val="24"/>
        </w:rPr>
        <w:t xml:space="preserve">tenants </w:t>
      </w:r>
      <w:r w:rsidR="00BA08E6">
        <w:rPr>
          <w:rFonts w:ascii="Times New Roman" w:hAnsi="Times New Roman"/>
          <w:sz w:val="24"/>
        </w:rPr>
        <w:t>multiplied the standard deviation of adjusted household income.</w:t>
      </w:r>
    </w:p>
    <w:p w:rsidR="009A016A" w:rsidRDefault="009A016A" w:rsidP="007B7180">
      <w:pPr>
        <w:rPr>
          <w:rFonts w:ascii="Times New Roman" w:hAnsi="Times New Roman"/>
          <w:sz w:val="24"/>
        </w:rPr>
      </w:pPr>
      <w:r w:rsidRPr="00967FA9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data set contains </w:t>
      </w:r>
      <w:r w:rsidR="00AA342B">
        <w:rPr>
          <w:rFonts w:ascii="Times New Roman" w:hAnsi="Times New Roman"/>
          <w:sz w:val="24"/>
        </w:rPr>
        <w:t>a weight (variable “w</w:t>
      </w:r>
      <w:r w:rsidR="00F63294">
        <w:rPr>
          <w:rFonts w:ascii="Times New Roman" w:hAnsi="Times New Roman"/>
          <w:sz w:val="24"/>
        </w:rPr>
        <w:t xml:space="preserve">eight”) which is the inverse of the sampling probability. </w:t>
      </w:r>
      <w:r>
        <w:rPr>
          <w:rFonts w:ascii="Times New Roman" w:hAnsi="Times New Roman"/>
          <w:sz w:val="24"/>
        </w:rPr>
        <w:t xml:space="preserve">The </w:t>
      </w:r>
      <w:r w:rsidRPr="00967FA9">
        <w:rPr>
          <w:rFonts w:ascii="Times New Roman" w:hAnsi="Times New Roman"/>
          <w:sz w:val="24"/>
        </w:rPr>
        <w:t>weight is the same for</w:t>
      </w:r>
      <w:r>
        <w:rPr>
          <w:rFonts w:ascii="Times New Roman" w:hAnsi="Times New Roman"/>
          <w:sz w:val="24"/>
        </w:rPr>
        <w:t xml:space="preserve"> all households in a given strata</w:t>
      </w:r>
      <w:r w:rsidR="00E830B5">
        <w:rPr>
          <w:rFonts w:ascii="Times New Roman" w:hAnsi="Times New Roman"/>
          <w:sz w:val="24"/>
        </w:rPr>
        <w:t>. Weighting makes the sample</w:t>
      </w:r>
      <w:r w:rsidRPr="00967FA9">
        <w:rPr>
          <w:rFonts w:ascii="Times New Roman" w:hAnsi="Times New Roman"/>
          <w:sz w:val="24"/>
        </w:rPr>
        <w:t xml:space="preserve"> nationally repre</w:t>
      </w:r>
      <w:r>
        <w:rPr>
          <w:rFonts w:ascii="Times New Roman" w:hAnsi="Times New Roman"/>
          <w:sz w:val="24"/>
        </w:rPr>
        <w:t>sentative</w:t>
      </w:r>
      <w:r w:rsidR="00355386">
        <w:rPr>
          <w:rFonts w:ascii="Times New Roman" w:hAnsi="Times New Roman"/>
          <w:sz w:val="24"/>
        </w:rPr>
        <w:t>.</w:t>
      </w:r>
    </w:p>
    <w:p w:rsidR="00E830B5" w:rsidRPr="00A36E74" w:rsidRDefault="00A36E74" w:rsidP="007B7180">
      <w:pPr>
        <w:rPr>
          <w:rFonts w:ascii="Times New Roman" w:hAnsi="Times New Roman"/>
          <w:b/>
          <w:sz w:val="24"/>
        </w:rPr>
      </w:pPr>
      <w:r w:rsidRPr="00A36E74">
        <w:rPr>
          <w:rFonts w:ascii="Times New Roman" w:hAnsi="Times New Roman"/>
          <w:b/>
          <w:sz w:val="24"/>
        </w:rPr>
        <w:t>III.</w:t>
      </w:r>
      <w:r w:rsidR="00E830B5" w:rsidRPr="00A36E74">
        <w:rPr>
          <w:rFonts w:ascii="Times New Roman" w:hAnsi="Times New Roman"/>
          <w:b/>
          <w:sz w:val="24"/>
        </w:rPr>
        <w:t xml:space="preserve"> Confidentiality </w:t>
      </w:r>
    </w:p>
    <w:p w:rsidR="00E830B5" w:rsidRDefault="00FE6BA0" w:rsidP="007B718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e</w:t>
      </w:r>
      <w:r w:rsidR="00E830B5">
        <w:rPr>
          <w:rFonts w:ascii="Times New Roman" w:hAnsi="Times New Roman"/>
          <w:sz w:val="24"/>
        </w:rPr>
        <w:t>nsure confidentiality, some variables in the data set were masked for some h</w:t>
      </w:r>
      <w:r w:rsidR="007111A5">
        <w:rPr>
          <w:rFonts w:ascii="Times New Roman" w:hAnsi="Times New Roman"/>
          <w:sz w:val="24"/>
        </w:rPr>
        <w:t xml:space="preserve">ouseholds. State is </w:t>
      </w:r>
      <w:r w:rsidR="00E830B5">
        <w:rPr>
          <w:rFonts w:ascii="Times New Roman" w:hAnsi="Times New Roman"/>
          <w:sz w:val="24"/>
        </w:rPr>
        <w:t>suppressed</w:t>
      </w:r>
      <w:r w:rsidR="00D6058D">
        <w:rPr>
          <w:rFonts w:ascii="Times New Roman" w:hAnsi="Times New Roman"/>
          <w:sz w:val="24"/>
        </w:rPr>
        <w:t xml:space="preserve"> for </w:t>
      </w:r>
      <w:r w:rsidR="005A4A2C">
        <w:rPr>
          <w:rFonts w:ascii="Times New Roman" w:hAnsi="Times New Roman"/>
          <w:sz w:val="24"/>
        </w:rPr>
        <w:t>tenants with unique combinations of variables</w:t>
      </w:r>
      <w:r w:rsidR="00784499">
        <w:rPr>
          <w:rFonts w:ascii="Times New Roman" w:hAnsi="Times New Roman"/>
          <w:sz w:val="24"/>
        </w:rPr>
        <w:t xml:space="preserve"> in the population</w:t>
      </w:r>
      <w:r w:rsidR="005A4A2C">
        <w:rPr>
          <w:rFonts w:ascii="Times New Roman" w:hAnsi="Times New Roman"/>
          <w:sz w:val="24"/>
        </w:rPr>
        <w:t xml:space="preserve">. </w:t>
      </w:r>
      <w:r w:rsidR="00BF360D">
        <w:rPr>
          <w:rFonts w:ascii="Times New Roman" w:hAnsi="Times New Roman"/>
          <w:sz w:val="24"/>
        </w:rPr>
        <w:t>If a tenant is uniquely identified aft</w:t>
      </w:r>
      <w:r w:rsidR="007111A5">
        <w:rPr>
          <w:rFonts w:ascii="Times New Roman" w:hAnsi="Times New Roman"/>
          <w:sz w:val="24"/>
        </w:rPr>
        <w:t>er suppressing state</w:t>
      </w:r>
      <w:r w:rsidR="00BF360D">
        <w:rPr>
          <w:rFonts w:ascii="Times New Roman" w:hAnsi="Times New Roman"/>
          <w:sz w:val="24"/>
        </w:rPr>
        <w:t xml:space="preserve">, one or more additional variables are suppressed. </w:t>
      </w:r>
      <w:r w:rsidR="005A4A2C">
        <w:rPr>
          <w:rFonts w:ascii="Times New Roman" w:hAnsi="Times New Roman"/>
          <w:sz w:val="24"/>
        </w:rPr>
        <w:t>For sampling</w:t>
      </w:r>
      <w:r w:rsidR="005A084B">
        <w:rPr>
          <w:rFonts w:ascii="Times New Roman" w:hAnsi="Times New Roman"/>
          <w:sz w:val="24"/>
        </w:rPr>
        <w:t xml:space="preserve"> purposes</w:t>
      </w:r>
      <w:r w:rsidR="005A4A2C">
        <w:rPr>
          <w:rFonts w:ascii="Times New Roman" w:hAnsi="Times New Roman"/>
          <w:sz w:val="24"/>
        </w:rPr>
        <w:t>, households wi</w:t>
      </w:r>
      <w:r w:rsidR="007111A5">
        <w:rPr>
          <w:rFonts w:ascii="Times New Roman" w:hAnsi="Times New Roman"/>
          <w:sz w:val="24"/>
        </w:rPr>
        <w:t xml:space="preserve">th suppressed state </w:t>
      </w:r>
      <w:r w:rsidR="005A4A2C">
        <w:rPr>
          <w:rFonts w:ascii="Times New Roman" w:hAnsi="Times New Roman"/>
          <w:sz w:val="24"/>
        </w:rPr>
        <w:t xml:space="preserve">were treated as </w:t>
      </w:r>
      <w:r>
        <w:rPr>
          <w:rFonts w:ascii="Times New Roman" w:hAnsi="Times New Roman"/>
          <w:sz w:val="24"/>
        </w:rPr>
        <w:t xml:space="preserve">a </w:t>
      </w:r>
      <w:r w:rsidR="002A5C35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eparate state</w:t>
      </w:r>
      <w:r w:rsidR="005A4A2C">
        <w:rPr>
          <w:rFonts w:ascii="Times New Roman" w:hAnsi="Times New Roman"/>
          <w:sz w:val="24"/>
        </w:rPr>
        <w:t>.</w:t>
      </w:r>
    </w:p>
    <w:p w:rsidR="00F36957" w:rsidRDefault="00F36957" w:rsidP="007B718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Four variables i</w:t>
      </w:r>
      <w:r w:rsidR="00FE6BA0">
        <w:rPr>
          <w:rFonts w:ascii="Times New Roman" w:hAnsi="Times New Roman"/>
          <w:sz w:val="24"/>
        </w:rPr>
        <w:t>n the sample were top-coded to e</w:t>
      </w:r>
      <w:r>
        <w:rPr>
          <w:rFonts w:ascii="Times New Roman" w:hAnsi="Times New Roman"/>
          <w:sz w:val="24"/>
        </w:rPr>
        <w:t xml:space="preserve">nsure confidentiality. Household size is top-coded at 7, and </w:t>
      </w:r>
      <w:r w:rsidR="009031AE">
        <w:rPr>
          <w:rFonts w:ascii="Times New Roman" w:hAnsi="Times New Roman"/>
          <w:sz w:val="24"/>
        </w:rPr>
        <w:t xml:space="preserve">number of </w:t>
      </w:r>
      <w:r>
        <w:rPr>
          <w:rFonts w:ascii="Times New Roman" w:hAnsi="Times New Roman"/>
          <w:sz w:val="24"/>
        </w:rPr>
        <w:t>bedrooms is top-coded at 4. Household income and adjusted household income are both top-coded at $90,000.</w:t>
      </w:r>
    </w:p>
    <w:p w:rsidR="00CA510A" w:rsidRDefault="00CA510A" w:rsidP="007B7180">
      <w:pPr>
        <w:rPr>
          <w:rFonts w:ascii="Times New Roman" w:hAnsi="Times New Roman"/>
          <w:sz w:val="24"/>
        </w:rPr>
      </w:pPr>
    </w:p>
    <w:p w:rsidR="00CA510A" w:rsidRDefault="00CA510A" w:rsidP="007B7180">
      <w:pPr>
        <w:rPr>
          <w:rFonts w:ascii="Times New Roman" w:hAnsi="Times New Roman"/>
          <w:sz w:val="24"/>
        </w:rPr>
      </w:pPr>
    </w:p>
    <w:p w:rsidR="00CA510A" w:rsidRDefault="00CA510A" w:rsidP="007B7180">
      <w:pPr>
        <w:rPr>
          <w:rFonts w:ascii="Times New Roman" w:hAnsi="Times New Roman"/>
          <w:sz w:val="24"/>
        </w:rPr>
      </w:pPr>
    </w:p>
    <w:p w:rsidR="00CA510A" w:rsidRDefault="00CA510A" w:rsidP="007B7180">
      <w:pPr>
        <w:rPr>
          <w:rFonts w:ascii="Times New Roman" w:hAnsi="Times New Roman"/>
          <w:sz w:val="24"/>
        </w:rPr>
      </w:pPr>
    </w:p>
    <w:p w:rsidR="00C223CF" w:rsidRPr="006C5328" w:rsidRDefault="006C5328" w:rsidP="007B7180">
      <w:pPr>
        <w:rPr>
          <w:rFonts w:ascii="Times New Roman" w:hAnsi="Times New Roman"/>
          <w:b/>
          <w:sz w:val="24"/>
        </w:rPr>
      </w:pPr>
      <w:r w:rsidRPr="006C5328">
        <w:rPr>
          <w:rFonts w:ascii="Times New Roman" w:hAnsi="Times New Roman"/>
          <w:b/>
          <w:sz w:val="24"/>
        </w:rPr>
        <w:t>IV.</w:t>
      </w:r>
      <w:r w:rsidR="00C223CF" w:rsidRPr="006C5328">
        <w:rPr>
          <w:rFonts w:ascii="Times New Roman" w:hAnsi="Times New Roman"/>
          <w:b/>
          <w:sz w:val="24"/>
        </w:rPr>
        <w:t xml:space="preserve"> Variables</w:t>
      </w:r>
    </w:p>
    <w:p w:rsidR="00304ECA" w:rsidRDefault="00304ECA" w:rsidP="007B718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This </w:t>
      </w:r>
      <w:r w:rsidR="00FE3467">
        <w:rPr>
          <w:rFonts w:ascii="Times New Roman" w:hAnsi="Times New Roman"/>
          <w:sz w:val="24"/>
        </w:rPr>
        <w:t>section describes each of the 15</w:t>
      </w:r>
      <w:r>
        <w:rPr>
          <w:rFonts w:ascii="Times New Roman" w:hAnsi="Times New Roman"/>
          <w:sz w:val="24"/>
        </w:rPr>
        <w:t xml:space="preserve"> variabl</w:t>
      </w:r>
      <w:r w:rsidR="002F6A8B">
        <w:rPr>
          <w:rFonts w:ascii="Times New Roman" w:hAnsi="Times New Roman"/>
          <w:sz w:val="24"/>
        </w:rPr>
        <w:t xml:space="preserve">es in </w:t>
      </w:r>
      <w:r w:rsidR="00FE3467">
        <w:rPr>
          <w:rFonts w:ascii="Times New Roman" w:hAnsi="Times New Roman"/>
          <w:sz w:val="24"/>
        </w:rPr>
        <w:t>the PUMS</w:t>
      </w:r>
      <w:r w:rsidR="002F6A8B">
        <w:rPr>
          <w:rFonts w:ascii="Times New Roman" w:hAnsi="Times New Roman"/>
          <w:sz w:val="24"/>
        </w:rPr>
        <w:t xml:space="preserve">. Weighted </w:t>
      </w:r>
      <w:r w:rsidR="00C95298">
        <w:rPr>
          <w:rFonts w:ascii="Times New Roman" w:hAnsi="Times New Roman"/>
          <w:sz w:val="24"/>
        </w:rPr>
        <w:t>frequency counts and percentages</w:t>
      </w:r>
      <w:r w:rsidR="002F6A8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are reported</w:t>
      </w:r>
      <w:r w:rsidR="00420CCD">
        <w:rPr>
          <w:rFonts w:ascii="Times New Roman" w:hAnsi="Times New Roman"/>
          <w:sz w:val="24"/>
        </w:rPr>
        <w:t xml:space="preserve"> for </w:t>
      </w:r>
      <w:r>
        <w:rPr>
          <w:rFonts w:ascii="Times New Roman" w:hAnsi="Times New Roman"/>
          <w:sz w:val="24"/>
        </w:rPr>
        <w:t>the sample, a</w:t>
      </w:r>
      <w:r w:rsidR="00C95298">
        <w:rPr>
          <w:rFonts w:ascii="Times New Roman" w:hAnsi="Times New Roman"/>
          <w:sz w:val="24"/>
        </w:rPr>
        <w:t>long with population values</w:t>
      </w:r>
      <w:r>
        <w:rPr>
          <w:rFonts w:ascii="Times New Roman" w:hAnsi="Times New Roman"/>
          <w:sz w:val="24"/>
        </w:rPr>
        <w:t xml:space="preserve"> for comparison. </w:t>
      </w:r>
    </w:p>
    <w:p w:rsidR="00955C35" w:rsidRDefault="00955C35" w:rsidP="00955C3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Program</w:t>
      </w:r>
    </w:p>
    <w:p w:rsidR="00955C35" w:rsidRDefault="00955C35" w:rsidP="00955C3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Program is identified by ch</w:t>
      </w:r>
      <w:r w:rsidR="00A808E6">
        <w:rPr>
          <w:rFonts w:ascii="Times New Roman" w:hAnsi="Times New Roman"/>
          <w:sz w:val="24"/>
        </w:rPr>
        <w:t>aracter variable “</w:t>
      </w:r>
      <w:proofErr w:type="spellStart"/>
      <w:r w:rsidR="00A808E6">
        <w:rPr>
          <w:rFonts w:ascii="Times New Roman" w:hAnsi="Times New Roman"/>
          <w:sz w:val="24"/>
        </w:rPr>
        <w:t>prog</w:t>
      </w:r>
      <w:proofErr w:type="spellEnd"/>
      <w:r w:rsidR="00A808E6">
        <w:rPr>
          <w:rFonts w:ascii="Times New Roman" w:hAnsi="Times New Roman"/>
          <w:sz w:val="24"/>
        </w:rPr>
        <w:t xml:space="preserve">”. For Public Housing </w:t>
      </w:r>
      <w:r>
        <w:rPr>
          <w:rFonts w:ascii="Times New Roman" w:hAnsi="Times New Roman"/>
          <w:sz w:val="24"/>
        </w:rPr>
        <w:t>tenants, this variable equals “</w:t>
      </w:r>
      <w:r w:rsidR="00A808E6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 xml:space="preserve">”.  For </w:t>
      </w:r>
      <w:r w:rsidR="00A808E6">
        <w:rPr>
          <w:rFonts w:ascii="Times New Roman" w:hAnsi="Times New Roman"/>
          <w:sz w:val="24"/>
        </w:rPr>
        <w:t xml:space="preserve">HCVP </w:t>
      </w:r>
      <w:r>
        <w:rPr>
          <w:rFonts w:ascii="Times New Roman" w:hAnsi="Times New Roman"/>
          <w:sz w:val="24"/>
        </w:rPr>
        <w:t>tenants, this variable equ</w:t>
      </w:r>
      <w:r w:rsidR="00390C4C">
        <w:rPr>
          <w:rFonts w:ascii="Times New Roman" w:hAnsi="Times New Roman"/>
          <w:sz w:val="24"/>
        </w:rPr>
        <w:t>als “</w:t>
      </w:r>
      <w:r w:rsidR="00A808E6">
        <w:rPr>
          <w:rFonts w:ascii="Times New Roman" w:hAnsi="Times New Roman"/>
          <w:sz w:val="24"/>
        </w:rPr>
        <w:t>V</w:t>
      </w:r>
      <w:r w:rsidR="00390C4C">
        <w:rPr>
          <w:rFonts w:ascii="Times New Roman" w:hAnsi="Times New Roman"/>
          <w:sz w:val="24"/>
        </w:rPr>
        <w:t>”. Table 1</w:t>
      </w:r>
      <w:r>
        <w:rPr>
          <w:rFonts w:ascii="Times New Roman" w:hAnsi="Times New Roman"/>
          <w:sz w:val="24"/>
        </w:rPr>
        <w:t xml:space="preserve"> reports population frequencies and </w:t>
      </w:r>
      <w:r w:rsidR="001E6B45">
        <w:rPr>
          <w:rFonts w:ascii="Times New Roman" w:hAnsi="Times New Roman"/>
          <w:sz w:val="24"/>
        </w:rPr>
        <w:t xml:space="preserve">weighted </w:t>
      </w:r>
      <w:r>
        <w:rPr>
          <w:rFonts w:ascii="Times New Roman" w:hAnsi="Times New Roman"/>
          <w:sz w:val="24"/>
        </w:rPr>
        <w:t>sample frequencies.</w:t>
      </w:r>
    </w:p>
    <w:p w:rsidR="00390C4C" w:rsidRDefault="00390C4C" w:rsidP="00955C3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Table 1: Program Frequencies</w:t>
      </w:r>
    </w:p>
    <w:tbl>
      <w:tblPr>
        <w:tblW w:w="5660" w:type="dxa"/>
        <w:tblInd w:w="93" w:type="dxa"/>
        <w:tblLook w:val="04A0"/>
      </w:tblPr>
      <w:tblGrid>
        <w:gridCol w:w="984"/>
        <w:gridCol w:w="1189"/>
        <w:gridCol w:w="1090"/>
        <w:gridCol w:w="1228"/>
        <w:gridCol w:w="1320"/>
      </w:tblGrid>
      <w:tr w:rsidR="00253D5E" w:rsidRPr="00253D5E" w:rsidTr="00253D5E">
        <w:trPr>
          <w:trHeight w:val="12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253D5E" w:rsidRPr="00253D5E" w:rsidRDefault="00253D5E" w:rsidP="00253D5E">
            <w:pPr>
              <w:spacing w:before="0"/>
              <w:rPr>
                <w:rFonts w:ascii="Calibri" w:eastAsia="Times New Roman" w:hAnsi="Calibri" w:cs="Times New Roman"/>
                <w:color w:val="FFFFFF"/>
              </w:rPr>
            </w:pPr>
            <w:r w:rsidRPr="00253D5E">
              <w:rPr>
                <w:rFonts w:ascii="Calibri" w:eastAsia="Times New Roman" w:hAnsi="Calibri" w:cs="Times New Roman"/>
                <w:color w:val="FFFFFF"/>
              </w:rPr>
              <w:t>Program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253D5E" w:rsidRPr="00253D5E" w:rsidRDefault="00253D5E" w:rsidP="00253D5E">
            <w:pPr>
              <w:spacing w:before="0"/>
              <w:jc w:val="right"/>
              <w:rPr>
                <w:rFonts w:ascii="Calibri" w:eastAsia="Times New Roman" w:hAnsi="Calibri" w:cs="Times New Roman"/>
                <w:color w:val="FFFFFF"/>
              </w:rPr>
            </w:pPr>
            <w:r w:rsidRPr="00253D5E">
              <w:rPr>
                <w:rFonts w:ascii="Calibri" w:eastAsia="Times New Roman" w:hAnsi="Calibri" w:cs="Times New Roman"/>
                <w:color w:val="FFFFFF"/>
              </w:rPr>
              <w:t>Population count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253D5E" w:rsidRPr="00253D5E" w:rsidRDefault="00253D5E" w:rsidP="00253D5E">
            <w:pPr>
              <w:spacing w:before="0"/>
              <w:jc w:val="right"/>
              <w:rPr>
                <w:rFonts w:ascii="Calibri" w:eastAsia="Times New Roman" w:hAnsi="Calibri" w:cs="Times New Roman"/>
                <w:color w:val="FFFFFF"/>
              </w:rPr>
            </w:pPr>
            <w:r w:rsidRPr="00253D5E">
              <w:rPr>
                <w:rFonts w:ascii="Calibri" w:eastAsia="Times New Roman" w:hAnsi="Calibri" w:cs="Times New Roman"/>
                <w:color w:val="FFFFFF"/>
              </w:rPr>
              <w:t>Weighted sample count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253D5E" w:rsidRPr="00253D5E" w:rsidRDefault="00253D5E" w:rsidP="00253D5E">
            <w:pPr>
              <w:spacing w:before="0"/>
              <w:jc w:val="right"/>
              <w:rPr>
                <w:rFonts w:ascii="Calibri" w:eastAsia="Times New Roman" w:hAnsi="Calibri" w:cs="Times New Roman"/>
                <w:color w:val="FFFFFF"/>
              </w:rPr>
            </w:pPr>
            <w:r w:rsidRPr="00253D5E">
              <w:rPr>
                <w:rFonts w:ascii="Calibri" w:eastAsia="Times New Roman" w:hAnsi="Calibri" w:cs="Times New Roman"/>
                <w:color w:val="FFFFFF"/>
              </w:rPr>
              <w:t>Population percentage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253D5E" w:rsidRPr="00253D5E" w:rsidRDefault="00253D5E" w:rsidP="00253D5E">
            <w:pPr>
              <w:spacing w:before="0"/>
              <w:jc w:val="right"/>
              <w:rPr>
                <w:rFonts w:ascii="Calibri" w:eastAsia="Times New Roman" w:hAnsi="Calibri" w:cs="Times New Roman"/>
                <w:color w:val="FFFFFF"/>
              </w:rPr>
            </w:pPr>
            <w:r w:rsidRPr="00253D5E">
              <w:rPr>
                <w:rFonts w:ascii="Calibri" w:eastAsia="Times New Roman" w:hAnsi="Calibri" w:cs="Times New Roman"/>
                <w:color w:val="FFFFFF"/>
              </w:rPr>
              <w:t>Weighted sample percentage</w:t>
            </w:r>
          </w:p>
        </w:tc>
      </w:tr>
      <w:tr w:rsidR="00253D5E" w:rsidRPr="00253D5E" w:rsidTr="00253D5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5E" w:rsidRPr="00253D5E" w:rsidRDefault="00253D5E" w:rsidP="00253D5E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253D5E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5E" w:rsidRPr="00253D5E" w:rsidRDefault="00253D5E" w:rsidP="00253D5E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5E">
              <w:rPr>
                <w:rFonts w:ascii="Calibri" w:eastAsia="Times New Roman" w:hAnsi="Calibri" w:cs="Times New Roman"/>
                <w:color w:val="000000"/>
              </w:rPr>
              <w:t>1140500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5E" w:rsidRPr="00253D5E" w:rsidRDefault="00253D5E" w:rsidP="00253D5E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5E">
              <w:rPr>
                <w:rFonts w:ascii="Calibri" w:eastAsia="Times New Roman" w:hAnsi="Calibri" w:cs="Times New Roman"/>
                <w:color w:val="000000"/>
              </w:rPr>
              <w:t>1137413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5E" w:rsidRPr="00253D5E" w:rsidRDefault="00253D5E" w:rsidP="00253D5E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5E">
              <w:rPr>
                <w:rFonts w:ascii="Calibri" w:eastAsia="Times New Roman" w:hAnsi="Calibri" w:cs="Times New Roman"/>
                <w:color w:val="000000"/>
              </w:rPr>
              <w:t>35.022%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5E" w:rsidRPr="00253D5E" w:rsidRDefault="00253D5E" w:rsidP="00253D5E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5E">
              <w:rPr>
                <w:rFonts w:ascii="Calibri" w:eastAsia="Times New Roman" w:hAnsi="Calibri" w:cs="Times New Roman"/>
                <w:color w:val="000000"/>
              </w:rPr>
              <w:t>35.012%</w:t>
            </w:r>
          </w:p>
        </w:tc>
      </w:tr>
      <w:tr w:rsidR="00253D5E" w:rsidRPr="00253D5E" w:rsidTr="00253D5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5E" w:rsidRPr="00253D5E" w:rsidRDefault="00253D5E" w:rsidP="00253D5E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253D5E">
              <w:rPr>
                <w:rFonts w:ascii="Calibri" w:eastAsia="Times New Roman" w:hAnsi="Calibri" w:cs="Times New Roman"/>
                <w:color w:val="000000"/>
              </w:rPr>
              <w:t>V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5E" w:rsidRPr="00253D5E" w:rsidRDefault="00253D5E" w:rsidP="00253D5E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5E">
              <w:rPr>
                <w:rFonts w:ascii="Calibri" w:eastAsia="Times New Roman" w:hAnsi="Calibri" w:cs="Times New Roman"/>
                <w:color w:val="000000"/>
              </w:rPr>
              <w:t>2116068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5E" w:rsidRPr="00253D5E" w:rsidRDefault="00253D5E" w:rsidP="00253D5E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5E">
              <w:rPr>
                <w:rFonts w:ascii="Calibri" w:eastAsia="Times New Roman" w:hAnsi="Calibri" w:cs="Times New Roman"/>
                <w:color w:val="000000"/>
              </w:rPr>
              <w:t>2111234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5E" w:rsidRPr="00253D5E" w:rsidRDefault="00253D5E" w:rsidP="00253D5E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5E">
              <w:rPr>
                <w:rFonts w:ascii="Calibri" w:eastAsia="Times New Roman" w:hAnsi="Calibri" w:cs="Times New Roman"/>
                <w:color w:val="000000"/>
              </w:rPr>
              <w:t>64.978%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5E" w:rsidRPr="00253D5E" w:rsidRDefault="00253D5E" w:rsidP="00253D5E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53D5E">
              <w:rPr>
                <w:rFonts w:ascii="Calibri" w:eastAsia="Times New Roman" w:hAnsi="Calibri" w:cs="Times New Roman"/>
                <w:color w:val="000000"/>
              </w:rPr>
              <w:t>64.988%</w:t>
            </w:r>
          </w:p>
        </w:tc>
      </w:tr>
    </w:tbl>
    <w:p w:rsidR="005C461D" w:rsidRDefault="008773E6" w:rsidP="007B718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5C461D">
        <w:rPr>
          <w:rFonts w:ascii="Times New Roman" w:hAnsi="Times New Roman"/>
          <w:sz w:val="24"/>
        </w:rPr>
        <w:t xml:space="preserve">. State </w:t>
      </w:r>
    </w:p>
    <w:p w:rsidR="00304ECA" w:rsidRDefault="00CA510A" w:rsidP="00304EC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State</w:t>
      </w:r>
      <w:r w:rsidR="00E12035">
        <w:rPr>
          <w:rFonts w:ascii="Times New Roman" w:hAnsi="Times New Roman"/>
          <w:sz w:val="24"/>
        </w:rPr>
        <w:t>s are</w:t>
      </w:r>
      <w:r>
        <w:rPr>
          <w:rFonts w:ascii="Times New Roman" w:hAnsi="Times New Roman"/>
          <w:sz w:val="24"/>
        </w:rPr>
        <w:t xml:space="preserve"> identified by two character variables. Variable “state” contains the </w:t>
      </w:r>
      <w:r w:rsidR="002F6A8B">
        <w:rPr>
          <w:rFonts w:ascii="Times New Roman" w:hAnsi="Times New Roman"/>
          <w:sz w:val="24"/>
        </w:rPr>
        <w:t xml:space="preserve">mixed-case </w:t>
      </w:r>
      <w:r>
        <w:rPr>
          <w:rFonts w:ascii="Times New Roman" w:hAnsi="Times New Roman"/>
          <w:sz w:val="24"/>
        </w:rPr>
        <w:t>state name, and variable “</w:t>
      </w:r>
      <w:proofErr w:type="spellStart"/>
      <w:r>
        <w:rPr>
          <w:rFonts w:ascii="Times New Roman" w:hAnsi="Times New Roman"/>
          <w:sz w:val="24"/>
        </w:rPr>
        <w:t>fipst</w:t>
      </w:r>
      <w:proofErr w:type="spellEnd"/>
      <w:r>
        <w:rPr>
          <w:rFonts w:ascii="Times New Roman" w:hAnsi="Times New Roman"/>
          <w:sz w:val="24"/>
        </w:rPr>
        <w:t xml:space="preserve">” contains the state FIPS code. Missing or suppressed state names are set to “Z Missing”; missing </w:t>
      </w:r>
      <w:r w:rsidR="00BC5812">
        <w:rPr>
          <w:rFonts w:ascii="Times New Roman" w:hAnsi="Times New Roman"/>
          <w:sz w:val="24"/>
        </w:rPr>
        <w:t xml:space="preserve">or suppressed </w:t>
      </w:r>
      <w:proofErr w:type="spellStart"/>
      <w:r>
        <w:rPr>
          <w:rFonts w:ascii="Times New Roman" w:hAnsi="Times New Roman"/>
          <w:sz w:val="24"/>
        </w:rPr>
        <w:t>fips</w:t>
      </w:r>
      <w:proofErr w:type="spellEnd"/>
      <w:r>
        <w:rPr>
          <w:rFonts w:ascii="Times New Roman" w:hAnsi="Times New Roman"/>
          <w:sz w:val="24"/>
        </w:rPr>
        <w:t xml:space="preserve"> codes are set to “99”. </w:t>
      </w:r>
      <w:r w:rsidR="006F3E71">
        <w:rPr>
          <w:rFonts w:ascii="Times New Roman" w:hAnsi="Times New Roman"/>
          <w:sz w:val="24"/>
        </w:rPr>
        <w:t>Table 2</w:t>
      </w:r>
      <w:r w:rsidR="0041697B">
        <w:rPr>
          <w:rFonts w:ascii="Times New Roman" w:hAnsi="Times New Roman"/>
          <w:sz w:val="24"/>
        </w:rPr>
        <w:t xml:space="preserve"> reports population frequencies and weighted sample frequencies.</w:t>
      </w:r>
    </w:p>
    <w:p w:rsidR="00C36933" w:rsidRDefault="001077A9" w:rsidP="00304EC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Table 2</w:t>
      </w:r>
      <w:r w:rsidR="00C36933">
        <w:rPr>
          <w:rFonts w:ascii="Times New Roman" w:hAnsi="Times New Roman"/>
          <w:sz w:val="24"/>
        </w:rPr>
        <w:t>: State Frequencies</w:t>
      </w:r>
    </w:p>
    <w:tbl>
      <w:tblPr>
        <w:tblW w:w="8580" w:type="dxa"/>
        <w:tblInd w:w="93" w:type="dxa"/>
        <w:tblLook w:val="04A0"/>
      </w:tblPr>
      <w:tblGrid>
        <w:gridCol w:w="2200"/>
        <w:gridCol w:w="1600"/>
        <w:gridCol w:w="1189"/>
        <w:gridCol w:w="1090"/>
        <w:gridCol w:w="1240"/>
        <w:gridCol w:w="1300"/>
      </w:tblGrid>
      <w:tr w:rsidR="0032220C" w:rsidRPr="0032220C" w:rsidTr="0032220C">
        <w:trPr>
          <w:trHeight w:val="12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FFFFFF"/>
              </w:rPr>
            </w:pPr>
            <w:r w:rsidRPr="0032220C">
              <w:rPr>
                <w:rFonts w:ascii="Calibri" w:eastAsia="Times New Roman" w:hAnsi="Calibri" w:cs="Times New Roman"/>
                <w:color w:val="FFFFFF"/>
              </w:rPr>
              <w:t>State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FFFFFF"/>
              </w:rPr>
            </w:pPr>
            <w:r w:rsidRPr="0032220C">
              <w:rPr>
                <w:rFonts w:ascii="Calibri" w:eastAsia="Times New Roman" w:hAnsi="Calibri" w:cs="Times New Roman"/>
                <w:color w:val="FFFFFF"/>
              </w:rPr>
              <w:t>State FIPS Code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FFFFFF"/>
              </w:rPr>
            </w:pPr>
            <w:r w:rsidRPr="0032220C">
              <w:rPr>
                <w:rFonts w:ascii="Calibri" w:eastAsia="Times New Roman" w:hAnsi="Calibri" w:cs="Times New Roman"/>
                <w:color w:val="FFFFFF"/>
              </w:rPr>
              <w:t>Population count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FFFFFF"/>
              </w:rPr>
            </w:pPr>
            <w:r w:rsidRPr="0032220C">
              <w:rPr>
                <w:rFonts w:ascii="Calibri" w:eastAsia="Times New Roman" w:hAnsi="Calibri" w:cs="Times New Roman"/>
                <w:color w:val="FFFFFF"/>
              </w:rPr>
              <w:t>Weighted sample count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FFFFFF"/>
              </w:rPr>
            </w:pPr>
            <w:r w:rsidRPr="0032220C">
              <w:rPr>
                <w:rFonts w:ascii="Calibri" w:eastAsia="Times New Roman" w:hAnsi="Calibri" w:cs="Times New Roman"/>
                <w:color w:val="FFFFFF"/>
              </w:rPr>
              <w:t>Population percentage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FFFFFF"/>
              </w:rPr>
            </w:pPr>
            <w:r w:rsidRPr="0032220C">
              <w:rPr>
                <w:rFonts w:ascii="Calibri" w:eastAsia="Times New Roman" w:hAnsi="Calibri" w:cs="Times New Roman"/>
                <w:color w:val="FFFFFF"/>
              </w:rPr>
              <w:t>Weighted sample percentage</w:t>
            </w:r>
          </w:p>
        </w:tc>
      </w:tr>
      <w:tr w:rsidR="0032220C" w:rsidRPr="0032220C" w:rsidTr="0032220C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Alabama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62924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46458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1.932%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1.430%</w:t>
            </w:r>
          </w:p>
        </w:tc>
      </w:tr>
      <w:tr w:rsidR="0032220C" w:rsidRPr="0032220C" w:rsidTr="0032220C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Alaska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5831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2407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0.179%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0.074%</w:t>
            </w:r>
          </w:p>
        </w:tc>
      </w:tr>
      <w:tr w:rsidR="0032220C" w:rsidRPr="0032220C" w:rsidTr="0032220C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Arizona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25988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16307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0.798%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0.502%</w:t>
            </w:r>
          </w:p>
        </w:tc>
      </w:tr>
      <w:tr w:rsidR="0032220C" w:rsidRPr="0032220C" w:rsidTr="0032220C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Arkansas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36764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24769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1.129%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0.762%</w:t>
            </w:r>
          </w:p>
        </w:tc>
      </w:tr>
      <w:tr w:rsidR="0032220C" w:rsidRPr="0032220C" w:rsidTr="0032220C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California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316931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260960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9.732%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8.033%</w:t>
            </w:r>
          </w:p>
        </w:tc>
      </w:tr>
      <w:tr w:rsidR="0032220C" w:rsidRPr="0032220C" w:rsidTr="0032220C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Colorado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37806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25791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1.161%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0.794%</w:t>
            </w:r>
          </w:p>
        </w:tc>
      </w:tr>
      <w:tr w:rsidR="0032220C" w:rsidRPr="0032220C" w:rsidTr="0032220C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Connecticut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45458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33207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1.396%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1.022%</w:t>
            </w:r>
          </w:p>
        </w:tc>
      </w:tr>
      <w:tr w:rsidR="0032220C" w:rsidRPr="0032220C" w:rsidTr="0032220C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Delaware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5485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2746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0.168%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0.085%</w:t>
            </w:r>
          </w:p>
        </w:tc>
      </w:tr>
      <w:tr w:rsidR="0032220C" w:rsidRPr="0032220C" w:rsidTr="0032220C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District of Columbia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11871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8604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0.365%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0.265%</w:t>
            </w:r>
          </w:p>
        </w:tc>
      </w:tr>
      <w:tr w:rsidR="0032220C" w:rsidRPr="0032220C" w:rsidTr="0032220C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lastRenderedPageBreak/>
              <w:t>Florida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123872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99697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3.804%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3.069%</w:t>
            </w:r>
          </w:p>
        </w:tc>
      </w:tr>
      <w:tr w:rsidR="0032220C" w:rsidRPr="0032220C" w:rsidTr="0032220C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Georgia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87567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69645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2.689%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2.144%</w:t>
            </w:r>
          </w:p>
        </w:tc>
      </w:tr>
      <w:tr w:rsidR="0032220C" w:rsidRPr="0032220C" w:rsidTr="0032220C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Hawaii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14359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5784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0.441%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0.178%</w:t>
            </w:r>
          </w:p>
        </w:tc>
      </w:tr>
      <w:tr w:rsidR="0032220C" w:rsidRPr="0032220C" w:rsidTr="0032220C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Idaho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7616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3931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0.234%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0.121%</w:t>
            </w:r>
          </w:p>
        </w:tc>
      </w:tr>
      <w:tr w:rsidR="0032220C" w:rsidRPr="0032220C" w:rsidTr="0032220C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Illinois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112097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88984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3.442%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2.739%</w:t>
            </w:r>
          </w:p>
        </w:tc>
      </w:tr>
      <w:tr w:rsidR="0032220C" w:rsidRPr="0032220C" w:rsidTr="0032220C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Indiana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50763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38011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1.559%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1.170%</w:t>
            </w:r>
          </w:p>
        </w:tc>
      </w:tr>
      <w:tr w:rsidR="0032220C" w:rsidRPr="0032220C" w:rsidTr="0032220C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Iowa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27663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19050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0.849%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0.586%</w:t>
            </w:r>
          </w:p>
        </w:tc>
      </w:tr>
      <w:tr w:rsidR="0032220C" w:rsidRPr="0032220C" w:rsidTr="0032220C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Kansas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20311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12868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0.624%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0.396%</w:t>
            </w:r>
          </w:p>
        </w:tc>
      </w:tr>
      <w:tr w:rsidR="0032220C" w:rsidRPr="0032220C" w:rsidTr="0032220C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Kentucky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54817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39328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1.683%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1.211%</w:t>
            </w:r>
          </w:p>
        </w:tc>
      </w:tr>
      <w:tr w:rsidR="0032220C" w:rsidRPr="0032220C" w:rsidTr="0032220C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Louisiana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57521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43093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1.766%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1.326%</w:t>
            </w:r>
          </w:p>
        </w:tc>
      </w:tr>
      <w:tr w:rsidR="0032220C" w:rsidRPr="0032220C" w:rsidTr="0032220C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Maine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16394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10305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0.503%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0.317%</w:t>
            </w:r>
          </w:p>
        </w:tc>
      </w:tr>
      <w:tr w:rsidR="0032220C" w:rsidRPr="0032220C" w:rsidTr="0032220C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Maryland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56866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43072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1.746%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1.326%</w:t>
            </w:r>
          </w:p>
        </w:tc>
      </w:tr>
      <w:tr w:rsidR="0032220C" w:rsidRPr="0032220C" w:rsidTr="0032220C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Massachusetts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102536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77241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3.149%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2.378%</w:t>
            </w:r>
          </w:p>
        </w:tc>
      </w:tr>
      <w:tr w:rsidR="0032220C" w:rsidRPr="0032220C" w:rsidTr="0032220C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Michigan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73264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55576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2.250%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1.711%</w:t>
            </w:r>
          </w:p>
        </w:tc>
      </w:tr>
      <w:tr w:rsidR="0032220C" w:rsidRPr="0032220C" w:rsidTr="0032220C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Minnesota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51252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37137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1.574%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1.143%</w:t>
            </w:r>
          </w:p>
        </w:tc>
      </w:tr>
      <w:tr w:rsidR="0032220C" w:rsidRPr="0032220C" w:rsidTr="0032220C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Mississippi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32004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21513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0.983%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0.662%</w:t>
            </w:r>
          </w:p>
        </w:tc>
      </w:tr>
      <w:tr w:rsidR="0032220C" w:rsidRPr="0032220C" w:rsidTr="0032220C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Missouri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57722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43934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1.772%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1.352%</w:t>
            </w:r>
          </w:p>
        </w:tc>
      </w:tr>
      <w:tr w:rsidR="0032220C" w:rsidRPr="0032220C" w:rsidTr="0032220C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Montana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7848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3858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0.241%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0.119%</w:t>
            </w:r>
          </w:p>
        </w:tc>
      </w:tr>
      <w:tr w:rsidR="0032220C" w:rsidRPr="0032220C" w:rsidTr="0032220C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Nebraska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18662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11880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0.573%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0.366%</w:t>
            </w:r>
          </w:p>
        </w:tc>
      </w:tr>
      <w:tr w:rsidR="0032220C" w:rsidRPr="0032220C" w:rsidTr="0032220C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Nevada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16967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10731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0.521%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0.330%</w:t>
            </w:r>
          </w:p>
        </w:tc>
      </w:tr>
      <w:tr w:rsidR="0032220C" w:rsidRPr="0032220C" w:rsidTr="0032220C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New Hampshire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13214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8065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0.406%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0.248%</w:t>
            </w:r>
          </w:p>
        </w:tc>
      </w:tr>
      <w:tr w:rsidR="0032220C" w:rsidRPr="0032220C" w:rsidTr="0032220C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New Jersey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95580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74137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2.935%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2.282%</w:t>
            </w:r>
          </w:p>
        </w:tc>
      </w:tr>
      <w:tr w:rsidR="0032220C" w:rsidRPr="0032220C" w:rsidTr="0032220C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New Mexico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16844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9078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0.517%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0.279%</w:t>
            </w:r>
          </w:p>
        </w:tc>
      </w:tr>
      <w:tr w:rsidR="0032220C" w:rsidRPr="0032220C" w:rsidTr="0032220C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New York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417208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364807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12.811%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11.230%</w:t>
            </w:r>
          </w:p>
        </w:tc>
      </w:tr>
      <w:tr w:rsidR="0032220C" w:rsidRPr="0032220C" w:rsidTr="0032220C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North Carolina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87937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67629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2.700%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2.082%</w:t>
            </w:r>
          </w:p>
        </w:tc>
      </w:tr>
      <w:tr w:rsidR="0032220C" w:rsidRPr="0032220C" w:rsidTr="0032220C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North Dakota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9629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5632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0.296%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0.173%</w:t>
            </w:r>
          </w:p>
        </w:tc>
      </w:tr>
      <w:tr w:rsidR="0032220C" w:rsidRPr="0032220C" w:rsidTr="0032220C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Ohio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135801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114640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4.170%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3.529%</w:t>
            </w:r>
          </w:p>
        </w:tc>
      </w:tr>
      <w:tr w:rsidR="0032220C" w:rsidRPr="0032220C" w:rsidTr="0032220C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Oklahoma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37099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25615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1.139%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0.788%</w:t>
            </w:r>
          </w:p>
        </w:tc>
      </w:tr>
      <w:tr w:rsidR="0032220C" w:rsidRPr="0032220C" w:rsidTr="0032220C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Oregon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39031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27890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1.199%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0.859%</w:t>
            </w:r>
          </w:p>
        </w:tc>
      </w:tr>
      <w:tr w:rsidR="0032220C" w:rsidRPr="0032220C" w:rsidTr="0032220C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Pennsylvania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129689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103186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3.982%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3.176%</w:t>
            </w:r>
          </w:p>
        </w:tc>
      </w:tr>
      <w:tr w:rsidR="0032220C" w:rsidRPr="0032220C" w:rsidTr="0032220C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Puerto Rico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76449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70938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2.348%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2.184%</w:t>
            </w:r>
          </w:p>
        </w:tc>
      </w:tr>
      <w:tr w:rsidR="0032220C" w:rsidRPr="0032220C" w:rsidTr="0032220C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Rhode Island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17405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12159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0.534%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0.374%</w:t>
            </w:r>
          </w:p>
        </w:tc>
      </w:tr>
      <w:tr w:rsidR="0032220C" w:rsidRPr="0032220C" w:rsidTr="0032220C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South Carolina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37778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27019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1.160%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0.832%</w:t>
            </w:r>
          </w:p>
        </w:tc>
      </w:tr>
      <w:tr w:rsidR="0032220C" w:rsidRPr="0032220C" w:rsidTr="0032220C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South Dakota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7969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4255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0.245%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0.131%</w:t>
            </w:r>
          </w:p>
        </w:tc>
      </w:tr>
      <w:tr w:rsidR="0032220C" w:rsidRPr="0032220C" w:rsidTr="0032220C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Tennessee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64326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49935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1.975%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1.537%</w:t>
            </w:r>
          </w:p>
        </w:tc>
      </w:tr>
      <w:tr w:rsidR="0032220C" w:rsidRPr="0032220C" w:rsidTr="0032220C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Texas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194538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155609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5.974%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4.790%</w:t>
            </w:r>
          </w:p>
        </w:tc>
      </w:tr>
      <w:tr w:rsidR="0032220C" w:rsidRPr="0032220C" w:rsidTr="0032220C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Utah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12882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8232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0.396%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0.253%</w:t>
            </w:r>
          </w:p>
        </w:tc>
      </w:tr>
      <w:tr w:rsidR="0032220C" w:rsidRPr="0032220C" w:rsidTr="0032220C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Vermont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7184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3806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0.221%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0.117%</w:t>
            </w:r>
          </w:p>
        </w:tc>
      </w:tr>
      <w:tr w:rsidR="0032220C" w:rsidRPr="0032220C" w:rsidTr="0032220C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Virginia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61603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45379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1.892%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1.397%</w:t>
            </w:r>
          </w:p>
        </w:tc>
      </w:tr>
      <w:tr w:rsidR="0032220C" w:rsidRPr="0032220C" w:rsidTr="0032220C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Washington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54736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35870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1.681%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1.104%</w:t>
            </w:r>
          </w:p>
        </w:tc>
      </w:tr>
      <w:tr w:rsidR="0032220C" w:rsidRPr="0032220C" w:rsidTr="0032220C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West Virginia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21446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13129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0.659%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0.404%</w:t>
            </w:r>
          </w:p>
        </w:tc>
      </w:tr>
      <w:tr w:rsidR="0032220C" w:rsidRPr="0032220C" w:rsidTr="0032220C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Wisconsin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39785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29735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1.222%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0.915%</w:t>
            </w:r>
          </w:p>
        </w:tc>
      </w:tr>
      <w:tr w:rsidR="0032220C" w:rsidRPr="0032220C" w:rsidTr="0032220C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Wyoming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3320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1464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0.102%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0.045%</w:t>
            </w:r>
          </w:p>
        </w:tc>
      </w:tr>
      <w:tr w:rsidR="0032220C" w:rsidRPr="0032220C" w:rsidTr="0032220C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Z Missing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135956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833551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4.175%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20C" w:rsidRPr="0032220C" w:rsidRDefault="0032220C" w:rsidP="0032220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220C">
              <w:rPr>
                <w:rFonts w:ascii="Calibri" w:eastAsia="Times New Roman" w:hAnsi="Calibri" w:cs="Times New Roman"/>
                <w:color w:val="000000"/>
              </w:rPr>
              <w:t>25.658%</w:t>
            </w:r>
          </w:p>
        </w:tc>
      </w:tr>
    </w:tbl>
    <w:p w:rsidR="00B207EE" w:rsidRDefault="00B207EE" w:rsidP="00B207E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Strata</w:t>
      </w:r>
    </w:p>
    <w:p w:rsidR="00DA2AB2" w:rsidRDefault="00DA2AB2" w:rsidP="00DA2AB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Sampling strata are identified by variable “strata”, which is </w:t>
      </w:r>
      <w:r w:rsidR="0032220C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>concatenation of the state FIPS code (variable “</w:t>
      </w:r>
      <w:proofErr w:type="spellStart"/>
      <w:r>
        <w:rPr>
          <w:rFonts w:ascii="Times New Roman" w:hAnsi="Times New Roman"/>
          <w:sz w:val="24"/>
        </w:rPr>
        <w:t>fipst</w:t>
      </w:r>
      <w:proofErr w:type="spellEnd"/>
      <w:r>
        <w:rPr>
          <w:rFonts w:ascii="Times New Roman" w:hAnsi="Times New Roman"/>
          <w:sz w:val="24"/>
        </w:rPr>
        <w:t>”) and program (variable “</w:t>
      </w:r>
      <w:proofErr w:type="spellStart"/>
      <w:r>
        <w:rPr>
          <w:rFonts w:ascii="Times New Roman" w:hAnsi="Times New Roman"/>
          <w:sz w:val="24"/>
        </w:rPr>
        <w:t>prog</w:t>
      </w:r>
      <w:proofErr w:type="spellEnd"/>
      <w:r>
        <w:rPr>
          <w:rFonts w:ascii="Times New Roman" w:hAnsi="Times New Roman"/>
          <w:sz w:val="24"/>
        </w:rPr>
        <w:t>”). Table 3 reports population and weighted sample frequencies.</w:t>
      </w:r>
    </w:p>
    <w:p w:rsidR="0030496F" w:rsidRDefault="00B207EE" w:rsidP="009166C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Table 3: Strata Frequencies</w:t>
      </w:r>
    </w:p>
    <w:tbl>
      <w:tblPr>
        <w:tblW w:w="7620" w:type="dxa"/>
        <w:tblInd w:w="93" w:type="dxa"/>
        <w:tblLook w:val="04A0"/>
      </w:tblPr>
      <w:tblGrid>
        <w:gridCol w:w="1960"/>
        <w:gridCol w:w="920"/>
        <w:gridCol w:w="1189"/>
        <w:gridCol w:w="1090"/>
        <w:gridCol w:w="1228"/>
        <w:gridCol w:w="1280"/>
      </w:tblGrid>
      <w:tr w:rsidR="0030496F" w:rsidRPr="0030496F" w:rsidTr="0030496F">
        <w:trPr>
          <w:trHeight w:val="9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FFFFFF"/>
              </w:rPr>
            </w:pPr>
            <w:r w:rsidRPr="0030496F">
              <w:rPr>
                <w:rFonts w:ascii="Calibri" w:eastAsia="Times New Roman" w:hAnsi="Calibri" w:cs="Times New Roman"/>
                <w:color w:val="FFFFFF"/>
              </w:rPr>
              <w:t>State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FFFFFF"/>
              </w:rPr>
            </w:pPr>
            <w:r w:rsidRPr="0030496F">
              <w:rPr>
                <w:rFonts w:ascii="Calibri" w:eastAsia="Times New Roman" w:hAnsi="Calibri" w:cs="Times New Roman"/>
                <w:color w:val="FFFFFF"/>
              </w:rPr>
              <w:t>Strata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FFFFFF"/>
              </w:rPr>
            </w:pPr>
            <w:r w:rsidRPr="0030496F">
              <w:rPr>
                <w:rFonts w:ascii="Calibri" w:eastAsia="Times New Roman" w:hAnsi="Calibri" w:cs="Times New Roman"/>
                <w:color w:val="FFFFFF"/>
              </w:rPr>
              <w:t>Population count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FFFFFF"/>
              </w:rPr>
            </w:pPr>
            <w:r w:rsidRPr="0030496F">
              <w:rPr>
                <w:rFonts w:ascii="Calibri" w:eastAsia="Times New Roman" w:hAnsi="Calibri" w:cs="Times New Roman"/>
                <w:color w:val="FFFFFF"/>
              </w:rPr>
              <w:t>Weighted sample count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FFFFFF"/>
              </w:rPr>
            </w:pPr>
            <w:r w:rsidRPr="0030496F">
              <w:rPr>
                <w:rFonts w:ascii="Calibri" w:eastAsia="Times New Roman" w:hAnsi="Calibri" w:cs="Times New Roman"/>
                <w:color w:val="FFFFFF"/>
              </w:rPr>
              <w:t>Population percentage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FFFFFF"/>
              </w:rPr>
            </w:pPr>
            <w:r w:rsidRPr="0030496F">
              <w:rPr>
                <w:rFonts w:ascii="Calibri" w:eastAsia="Times New Roman" w:hAnsi="Calibri" w:cs="Times New Roman"/>
                <w:color w:val="FFFFFF"/>
              </w:rPr>
              <w:t>Weighted sample percentage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Alabama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01_P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33587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25604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1.031%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0.788%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Alabama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01_V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29337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20854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0.901%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0.642%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Alaska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02_P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1218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414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0.037%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0.013%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Alaska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02_V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4613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1993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0.142%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0.061%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Arizona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04_P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5369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3087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0.165%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0.095%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Arizona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04_V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20619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13220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0.633%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0.407%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Arkansas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05_P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12571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8678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0.386%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0.267%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Arkansas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05_V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24193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16091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0.743%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0.495%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California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06_P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35386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25010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1.087%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0.770%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California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06_V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281545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235950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8.645%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7.263%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Colorado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08_P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7803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4961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0.240%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0.153%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Colorado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08_V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30003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20830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0.921%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0.641%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Connecticut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09_P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13689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10201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0.420%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0.314%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Connecticut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09_V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31769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23006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0.976%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0.708%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Delaware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10_P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2052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1019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0.063%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0.031%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Delaware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10_V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3433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1727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0.105%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0.053%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District of Columbia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11_P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3322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2509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0.102%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0.077%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District of Columbia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11_V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8549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6095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0.263%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0.188%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Florida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12_P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30897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24454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0.949%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0.753%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Florida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12_V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92975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75243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2.855%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2.316%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Georgia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13_P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37022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29418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1.137%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0.906%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Georgia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13_V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50545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40227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1.552%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1.238%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Hawaii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15_P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4829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2176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0.148%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0.067%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Hawaii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15_V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9530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3608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0.293%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0.111%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Idaho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16_P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783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445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0.024%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0.014%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Idaho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16_V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6833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3486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0.210%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0.107%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Illinois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17_P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35905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28654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1.103%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0.882%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Illinois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17_V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76192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60330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2.340%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1.857%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Indiana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18_P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13753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10545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0.422%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0.325%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Indiana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18_V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37010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27466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1.136%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0.845%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Iowa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19_P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3778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2490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0.116%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0.077%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Iowa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19_V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23885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16560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0.733%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0.510%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Kansas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20_P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8059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5546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0.247%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0.171%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Kansas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20_V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12252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7322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0.376%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0.225%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Kentucky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21_P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21046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15103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0.646%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0.465%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Kentucky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21_V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33771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24225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1.037%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0.746%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Louisiana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22_P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16946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12385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0.520%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0.381%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Louisiana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22_V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40575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30708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1.246%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0.945%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Maine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23_P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3937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2474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0.121%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0.076%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Maine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23_V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12457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7831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0.383%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0.241%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Maryland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24_P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16288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12514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0.500%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0.385%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Maryland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24_V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40578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30558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1.246%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0.941%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Massachusetts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25_P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30043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23137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0.923%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0.712%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Massachusetts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25_V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72493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54104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2.226%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1.665%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Michigan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26_P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20521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16518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0.630%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0.508%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Michigan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26_V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52743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39058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1.620%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1.202%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Minnesota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27_P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19740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15390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0.606%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0.474%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Minnesota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27_V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31512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21747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0.968%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0.669%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Mississippi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28_P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11831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8257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0.363%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0.254%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Mississippi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28_V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20173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13256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0.619%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0.408%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Missouri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29_P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15937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11646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0.489%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0.358%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Missouri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29_V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41785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32288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1.283%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0.994%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Montana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30_P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1918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968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0.059%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0.030%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Montana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30_V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5930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2890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0.182%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0.089%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Nebraska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31_P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6364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4317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0.195%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0.133%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Nebraska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31_V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12298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7563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0.378%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0.233%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Nevada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32_P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3388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2250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0.104%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0.069%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Nevada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32_V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13579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8481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0.417%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0.261%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New Hampshire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33_P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4018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2859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0.123%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0.088%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New Hampshire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33_V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9196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5206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0.282%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0.160%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New Jersey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34_P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33773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26627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1.037%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0.820%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New Jersey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34_V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61807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47510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1.898%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1.462%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New Mexico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35_P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3755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1808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0.115%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0.056%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New Mexico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35_V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13089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7270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0.402%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0.224%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New York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36_P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194650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175513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5.977%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5.403%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New York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36_V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222558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189294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6.834%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5.827%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North Carolina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37_P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32928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26492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1.011%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0.815%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North Carolina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37_V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55009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41137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1.689%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1.266%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North Dakota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38_P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1614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860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0.050%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0.026%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North Dakota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38_V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8015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4772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0.246%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0.147%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Ohio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39_P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41866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36152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1.286%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1.113%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Ohio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39_V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93935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78488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2.884%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2.416%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Oklahoma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40_P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11616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7866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0.357%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0.242%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Oklahoma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40_V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25483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17749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0.783%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0.546%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Oregon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41_P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5197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3378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0.160%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0.104%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Oregon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41_V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33834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24512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1.039%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0.755%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Pennsylvania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42_P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55604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45198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1.707%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1.391%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Pennsylvania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42_V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74085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57988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2.275%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1.785%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Rhode Island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44_P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9142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7103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0.281%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0.219%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Rhode Island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44_V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8263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5056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0.254%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0.156%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South Carolina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45_P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13755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10058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0.422%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0.310%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South Carolina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45_V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24023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16961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0.738%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0.522%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South Dakota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46_P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1488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0.046%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0.026%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South Dakota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46_V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6481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3405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0.199%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0.105%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Tennessee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47_P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31248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25202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0.960%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0.776%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Tennessee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47_V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33078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24733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1.016%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0.761%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Texas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48_P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48047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37030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1.475%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1.140%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Texas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48_V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146491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118579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4.498%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3.650%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Utah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49_P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1680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1049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0.052%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0.032%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Utah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49_V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11202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7183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0.344%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0.221%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Vermont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50_P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1774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1137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0.054%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0.035%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Vermont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50_V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5410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2669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0.166%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0.082%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Virginia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51_P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17749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13911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0.545%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0.428%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Virginia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51_V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43854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31468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1.347%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0.969%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Washington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53_P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12788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8201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0.393%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0.252%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Washington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53_V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41948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27669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1.288%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0.852%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West Virginia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54_P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6143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4039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0.189%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0.124%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West Virginia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54_V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15303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9090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0.470%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0.280%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Wisconsin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55_P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11867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9133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0.364%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0.281%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Wisconsin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55_V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27918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20602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0.857%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0.634%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Wyoming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56_P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650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238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0.020%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0.007%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Wyoming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56_V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2670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1226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0.082%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0.038%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Puerto Rico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72_P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48368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45208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1.485%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1.392%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Puerto Rico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72_V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28081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25730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0.862%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0.792%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Z Missing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99_P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132798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337331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4.078%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10.384%</w:t>
            </w:r>
          </w:p>
        </w:tc>
      </w:tr>
      <w:tr w:rsidR="0030496F" w:rsidRPr="0030496F" w:rsidTr="003049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Z Missing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99_V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3158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496220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0.097%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6F" w:rsidRPr="0030496F" w:rsidRDefault="0030496F" w:rsidP="0030496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496F">
              <w:rPr>
                <w:rFonts w:ascii="Calibri" w:eastAsia="Times New Roman" w:hAnsi="Calibri" w:cs="Times New Roman"/>
                <w:color w:val="000000"/>
              </w:rPr>
              <w:t>15.275%</w:t>
            </w:r>
          </w:p>
        </w:tc>
      </w:tr>
    </w:tbl>
    <w:p w:rsidR="0030496F" w:rsidRDefault="0030496F" w:rsidP="009166C8">
      <w:pPr>
        <w:rPr>
          <w:rFonts w:ascii="Times New Roman" w:hAnsi="Times New Roman"/>
          <w:sz w:val="24"/>
        </w:rPr>
      </w:pPr>
    </w:p>
    <w:p w:rsidR="00E61EAD" w:rsidRDefault="002401E4" w:rsidP="009166C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 w:rsidR="00472078">
        <w:rPr>
          <w:rFonts w:ascii="Times New Roman" w:hAnsi="Times New Roman"/>
          <w:sz w:val="24"/>
        </w:rPr>
        <w:t xml:space="preserve"> Census Tract Poverty Rate</w:t>
      </w:r>
    </w:p>
    <w:p w:rsidR="00472078" w:rsidRDefault="00472078" w:rsidP="009166C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Census tract poverty rates are measured by character variable “poverty”. Poverty rates are based on American Community Survey (ACS) data averaged ove</w:t>
      </w:r>
      <w:r w:rsidR="00015648">
        <w:rPr>
          <w:rFonts w:ascii="Times New Roman" w:hAnsi="Times New Roman"/>
          <w:sz w:val="24"/>
        </w:rPr>
        <w:t>r 2005-09, using 2000 tract boundaries.</w:t>
      </w:r>
      <w:r>
        <w:rPr>
          <w:rFonts w:ascii="Times New Roman" w:hAnsi="Times New Roman"/>
          <w:sz w:val="24"/>
        </w:rPr>
        <w:t xml:space="preserve">  Poverty rates are reported in four five categories: 0%-9%, 10%-19%, 20%-29%, 30%-39%, and 40% and above. Missing or suppressed values are blank. Table 4 reports population and weighted sample frequencies.</w:t>
      </w:r>
    </w:p>
    <w:p w:rsidR="00472078" w:rsidRDefault="00472078" w:rsidP="009166C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Table 4: Census Tract Poverty Rate Frequencies</w:t>
      </w:r>
    </w:p>
    <w:tbl>
      <w:tblPr>
        <w:tblW w:w="6560" w:type="dxa"/>
        <w:tblInd w:w="93" w:type="dxa"/>
        <w:tblLook w:val="04A0"/>
      </w:tblPr>
      <w:tblGrid>
        <w:gridCol w:w="1580"/>
        <w:gridCol w:w="1260"/>
        <w:gridCol w:w="1164"/>
        <w:gridCol w:w="1380"/>
        <w:gridCol w:w="1280"/>
      </w:tblGrid>
      <w:tr w:rsidR="00D67676" w:rsidRPr="00D67676" w:rsidTr="00D67676">
        <w:trPr>
          <w:trHeight w:val="9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67676" w:rsidRPr="00D67676" w:rsidRDefault="00D67676" w:rsidP="00D67676">
            <w:pPr>
              <w:spacing w:before="0"/>
              <w:rPr>
                <w:rFonts w:ascii="Calibri" w:eastAsia="Times New Roman" w:hAnsi="Calibri" w:cs="Times New Roman"/>
                <w:color w:val="FFFFFF"/>
              </w:rPr>
            </w:pPr>
            <w:r w:rsidRPr="00D67676">
              <w:rPr>
                <w:rFonts w:ascii="Calibri" w:eastAsia="Times New Roman" w:hAnsi="Calibri" w:cs="Times New Roman"/>
                <w:color w:val="FFFFFF"/>
              </w:rPr>
              <w:t>Poverty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D67676" w:rsidRPr="00D67676" w:rsidRDefault="00D67676" w:rsidP="00D67676">
            <w:pPr>
              <w:spacing w:before="0"/>
              <w:jc w:val="right"/>
              <w:rPr>
                <w:rFonts w:ascii="Calibri" w:eastAsia="Times New Roman" w:hAnsi="Calibri" w:cs="Times New Roman"/>
                <w:color w:val="FFFFFF"/>
              </w:rPr>
            </w:pPr>
            <w:r w:rsidRPr="00D67676">
              <w:rPr>
                <w:rFonts w:ascii="Calibri" w:eastAsia="Times New Roman" w:hAnsi="Calibri" w:cs="Times New Roman"/>
                <w:color w:val="FFFFFF"/>
              </w:rPr>
              <w:t>Population count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D67676" w:rsidRPr="00D67676" w:rsidRDefault="00D67676" w:rsidP="00D67676">
            <w:pPr>
              <w:spacing w:before="0"/>
              <w:jc w:val="right"/>
              <w:rPr>
                <w:rFonts w:ascii="Calibri" w:eastAsia="Times New Roman" w:hAnsi="Calibri" w:cs="Times New Roman"/>
                <w:color w:val="FFFFFF"/>
              </w:rPr>
            </w:pPr>
            <w:r w:rsidRPr="00D67676">
              <w:rPr>
                <w:rFonts w:ascii="Calibri" w:eastAsia="Times New Roman" w:hAnsi="Calibri" w:cs="Times New Roman"/>
                <w:color w:val="FFFFFF"/>
              </w:rPr>
              <w:t>Weighted sample count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D67676" w:rsidRPr="00D67676" w:rsidRDefault="00D67676" w:rsidP="00D67676">
            <w:pPr>
              <w:spacing w:before="0"/>
              <w:jc w:val="right"/>
              <w:rPr>
                <w:rFonts w:ascii="Calibri" w:eastAsia="Times New Roman" w:hAnsi="Calibri" w:cs="Times New Roman"/>
                <w:color w:val="FFFFFF"/>
              </w:rPr>
            </w:pPr>
            <w:r w:rsidRPr="00D67676">
              <w:rPr>
                <w:rFonts w:ascii="Calibri" w:eastAsia="Times New Roman" w:hAnsi="Calibri" w:cs="Times New Roman"/>
                <w:color w:val="FFFFFF"/>
              </w:rPr>
              <w:t>Population percentage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D67676" w:rsidRPr="00D67676" w:rsidRDefault="00D67676" w:rsidP="00D67676">
            <w:pPr>
              <w:spacing w:before="0"/>
              <w:jc w:val="right"/>
              <w:rPr>
                <w:rFonts w:ascii="Calibri" w:eastAsia="Times New Roman" w:hAnsi="Calibri" w:cs="Times New Roman"/>
                <w:color w:val="FFFFFF"/>
              </w:rPr>
            </w:pPr>
            <w:r w:rsidRPr="00D67676">
              <w:rPr>
                <w:rFonts w:ascii="Calibri" w:eastAsia="Times New Roman" w:hAnsi="Calibri" w:cs="Times New Roman"/>
                <w:color w:val="FFFFFF"/>
              </w:rPr>
              <w:t>Weighted sample percentage</w:t>
            </w:r>
          </w:p>
        </w:tc>
      </w:tr>
      <w:tr w:rsidR="00D67676" w:rsidRPr="00D67676" w:rsidTr="00D67676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76" w:rsidRPr="00D67676" w:rsidRDefault="00D67676" w:rsidP="00D67676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D67676">
              <w:rPr>
                <w:rFonts w:ascii="Calibri" w:eastAsia="Times New Roman" w:hAnsi="Calibri" w:cs="Times New Roman"/>
                <w:color w:val="000000"/>
              </w:rPr>
              <w:t>Missing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76" w:rsidRPr="00D67676" w:rsidRDefault="00D67676" w:rsidP="00D67676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7676">
              <w:rPr>
                <w:rFonts w:ascii="Calibri" w:eastAsia="Times New Roman" w:hAnsi="Calibri" w:cs="Times New Roman"/>
                <w:color w:val="000000"/>
              </w:rPr>
              <w:t>282460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76" w:rsidRPr="00D67676" w:rsidRDefault="00D67676" w:rsidP="00D67676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7676">
              <w:rPr>
                <w:rFonts w:ascii="Calibri" w:eastAsia="Times New Roman" w:hAnsi="Calibri" w:cs="Times New Roman"/>
                <w:color w:val="000000"/>
              </w:rPr>
              <w:t>470940.81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76" w:rsidRPr="00D67676" w:rsidRDefault="00D67676" w:rsidP="00D67676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7676">
              <w:rPr>
                <w:rFonts w:ascii="Calibri" w:eastAsia="Times New Roman" w:hAnsi="Calibri" w:cs="Times New Roman"/>
                <w:color w:val="000000"/>
              </w:rPr>
              <w:t>8.674%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76" w:rsidRPr="00D67676" w:rsidRDefault="00D67676" w:rsidP="00D67676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7676">
              <w:rPr>
                <w:rFonts w:ascii="Calibri" w:eastAsia="Times New Roman" w:hAnsi="Calibri" w:cs="Times New Roman"/>
                <w:color w:val="000000"/>
              </w:rPr>
              <w:t>14.497%</w:t>
            </w:r>
          </w:p>
        </w:tc>
      </w:tr>
      <w:tr w:rsidR="00D67676" w:rsidRPr="00D67676" w:rsidTr="00D67676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76" w:rsidRPr="00D67676" w:rsidRDefault="00D67676" w:rsidP="00D67676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D67676">
              <w:rPr>
                <w:rFonts w:ascii="Calibri" w:eastAsia="Times New Roman" w:hAnsi="Calibri" w:cs="Times New Roman"/>
                <w:color w:val="000000"/>
              </w:rPr>
              <w:t>0% - 9%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76" w:rsidRPr="00D67676" w:rsidRDefault="00D67676" w:rsidP="00D67676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7676">
              <w:rPr>
                <w:rFonts w:ascii="Calibri" w:eastAsia="Times New Roman" w:hAnsi="Calibri" w:cs="Times New Roman"/>
                <w:color w:val="000000"/>
              </w:rPr>
              <w:t>490688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76" w:rsidRPr="00D67676" w:rsidRDefault="00D67676" w:rsidP="00D67676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7676">
              <w:rPr>
                <w:rFonts w:ascii="Calibri" w:eastAsia="Times New Roman" w:hAnsi="Calibri" w:cs="Times New Roman"/>
                <w:color w:val="000000"/>
              </w:rPr>
              <w:t>449781.48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76" w:rsidRPr="00D67676" w:rsidRDefault="00D67676" w:rsidP="00D67676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7676">
              <w:rPr>
                <w:rFonts w:ascii="Calibri" w:eastAsia="Times New Roman" w:hAnsi="Calibri" w:cs="Times New Roman"/>
                <w:color w:val="000000"/>
              </w:rPr>
              <w:t>15.068%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76" w:rsidRPr="00D67676" w:rsidRDefault="00D67676" w:rsidP="00D67676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7676">
              <w:rPr>
                <w:rFonts w:ascii="Calibri" w:eastAsia="Times New Roman" w:hAnsi="Calibri" w:cs="Times New Roman"/>
                <w:color w:val="000000"/>
              </w:rPr>
              <w:t>13.845%</w:t>
            </w:r>
          </w:p>
        </w:tc>
      </w:tr>
      <w:tr w:rsidR="00D67676" w:rsidRPr="00D67676" w:rsidTr="00D67676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76" w:rsidRPr="00D67676" w:rsidRDefault="00D67676" w:rsidP="00D67676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D67676">
              <w:rPr>
                <w:rFonts w:ascii="Calibri" w:eastAsia="Times New Roman" w:hAnsi="Calibri" w:cs="Times New Roman"/>
                <w:color w:val="000000"/>
              </w:rPr>
              <w:t>10% - 19%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76" w:rsidRPr="00D67676" w:rsidRDefault="00D67676" w:rsidP="00D67676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7676">
              <w:rPr>
                <w:rFonts w:ascii="Calibri" w:eastAsia="Times New Roman" w:hAnsi="Calibri" w:cs="Times New Roman"/>
                <w:color w:val="000000"/>
              </w:rPr>
              <w:t>862593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76" w:rsidRPr="00D67676" w:rsidRDefault="00D67676" w:rsidP="00D67676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7676">
              <w:rPr>
                <w:rFonts w:ascii="Calibri" w:eastAsia="Times New Roman" w:hAnsi="Calibri" w:cs="Times New Roman"/>
                <w:color w:val="000000"/>
              </w:rPr>
              <w:t>814558.53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76" w:rsidRPr="00D67676" w:rsidRDefault="00D67676" w:rsidP="00D67676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7676">
              <w:rPr>
                <w:rFonts w:ascii="Calibri" w:eastAsia="Times New Roman" w:hAnsi="Calibri" w:cs="Times New Roman"/>
                <w:color w:val="000000"/>
              </w:rPr>
              <w:t>26.488%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76" w:rsidRPr="00D67676" w:rsidRDefault="00D67676" w:rsidP="00D67676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7676">
              <w:rPr>
                <w:rFonts w:ascii="Calibri" w:eastAsia="Times New Roman" w:hAnsi="Calibri" w:cs="Times New Roman"/>
                <w:color w:val="000000"/>
              </w:rPr>
              <w:t>25.074%</w:t>
            </w:r>
          </w:p>
        </w:tc>
      </w:tr>
      <w:tr w:rsidR="00D67676" w:rsidRPr="00D67676" w:rsidTr="00D67676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76" w:rsidRPr="00D67676" w:rsidRDefault="00D67676" w:rsidP="00D67676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D67676">
              <w:rPr>
                <w:rFonts w:ascii="Calibri" w:eastAsia="Times New Roman" w:hAnsi="Calibri" w:cs="Times New Roman"/>
                <w:color w:val="000000"/>
              </w:rPr>
              <w:t>20% - 29%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76" w:rsidRPr="00D67676" w:rsidRDefault="00D67676" w:rsidP="00D67676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7676">
              <w:rPr>
                <w:rFonts w:ascii="Calibri" w:eastAsia="Times New Roman" w:hAnsi="Calibri" w:cs="Times New Roman"/>
                <w:color w:val="000000"/>
              </w:rPr>
              <w:t>703792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76" w:rsidRPr="00D67676" w:rsidRDefault="00D67676" w:rsidP="00D67676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7676">
              <w:rPr>
                <w:rFonts w:ascii="Calibri" w:eastAsia="Times New Roman" w:hAnsi="Calibri" w:cs="Times New Roman"/>
                <w:color w:val="000000"/>
              </w:rPr>
              <w:t>664087.39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76" w:rsidRPr="00D67676" w:rsidRDefault="00D67676" w:rsidP="00D67676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7676">
              <w:rPr>
                <w:rFonts w:ascii="Calibri" w:eastAsia="Times New Roman" w:hAnsi="Calibri" w:cs="Times New Roman"/>
                <w:color w:val="000000"/>
              </w:rPr>
              <w:t>21.611%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76" w:rsidRPr="00D67676" w:rsidRDefault="00D67676" w:rsidP="00D67676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7676">
              <w:rPr>
                <w:rFonts w:ascii="Calibri" w:eastAsia="Times New Roman" w:hAnsi="Calibri" w:cs="Times New Roman"/>
                <w:color w:val="000000"/>
              </w:rPr>
              <w:t>20.442%</w:t>
            </w:r>
          </w:p>
        </w:tc>
      </w:tr>
      <w:tr w:rsidR="00D67676" w:rsidRPr="00D67676" w:rsidTr="00D67676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76" w:rsidRPr="00D67676" w:rsidRDefault="00D67676" w:rsidP="00D67676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D67676">
              <w:rPr>
                <w:rFonts w:ascii="Calibri" w:eastAsia="Times New Roman" w:hAnsi="Calibri" w:cs="Times New Roman"/>
                <w:color w:val="000000"/>
              </w:rPr>
              <w:t>30% - 39%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76" w:rsidRPr="00D67676" w:rsidRDefault="00D67676" w:rsidP="00D67676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7676">
              <w:rPr>
                <w:rFonts w:ascii="Calibri" w:eastAsia="Times New Roman" w:hAnsi="Calibri" w:cs="Times New Roman"/>
                <w:color w:val="000000"/>
              </w:rPr>
              <w:t>452962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76" w:rsidRPr="00D67676" w:rsidRDefault="00D67676" w:rsidP="00D67676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7676">
              <w:rPr>
                <w:rFonts w:ascii="Calibri" w:eastAsia="Times New Roman" w:hAnsi="Calibri" w:cs="Times New Roman"/>
                <w:color w:val="000000"/>
              </w:rPr>
              <w:t>416913.27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76" w:rsidRPr="00D67676" w:rsidRDefault="00D67676" w:rsidP="00D67676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7676">
              <w:rPr>
                <w:rFonts w:ascii="Calibri" w:eastAsia="Times New Roman" w:hAnsi="Calibri" w:cs="Times New Roman"/>
                <w:color w:val="000000"/>
              </w:rPr>
              <w:t>13.909%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76" w:rsidRPr="00D67676" w:rsidRDefault="00D67676" w:rsidP="00D67676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7676">
              <w:rPr>
                <w:rFonts w:ascii="Calibri" w:eastAsia="Times New Roman" w:hAnsi="Calibri" w:cs="Times New Roman"/>
                <w:color w:val="000000"/>
              </w:rPr>
              <w:t>12.833%</w:t>
            </w:r>
          </w:p>
        </w:tc>
      </w:tr>
      <w:tr w:rsidR="00D67676" w:rsidRPr="00D67676" w:rsidTr="00D67676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76" w:rsidRPr="00D67676" w:rsidRDefault="00D67676" w:rsidP="00D67676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D67676">
              <w:rPr>
                <w:rFonts w:ascii="Calibri" w:eastAsia="Times New Roman" w:hAnsi="Calibri" w:cs="Times New Roman"/>
                <w:color w:val="000000"/>
              </w:rPr>
              <w:t>40%  and above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76" w:rsidRPr="00D67676" w:rsidRDefault="00D67676" w:rsidP="00D67676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7676">
              <w:rPr>
                <w:rFonts w:ascii="Calibri" w:eastAsia="Times New Roman" w:hAnsi="Calibri" w:cs="Times New Roman"/>
                <w:color w:val="000000"/>
              </w:rPr>
              <w:t>464073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76" w:rsidRPr="00D67676" w:rsidRDefault="00D67676" w:rsidP="00D67676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7676">
              <w:rPr>
                <w:rFonts w:ascii="Calibri" w:eastAsia="Times New Roman" w:hAnsi="Calibri" w:cs="Times New Roman"/>
                <w:color w:val="000000"/>
              </w:rPr>
              <w:t>432365.51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76" w:rsidRPr="00D67676" w:rsidRDefault="00D67676" w:rsidP="00D67676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7676">
              <w:rPr>
                <w:rFonts w:ascii="Calibri" w:eastAsia="Times New Roman" w:hAnsi="Calibri" w:cs="Times New Roman"/>
                <w:color w:val="000000"/>
              </w:rPr>
              <w:t>14.250%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76" w:rsidRPr="00D67676" w:rsidRDefault="00D67676" w:rsidP="00D67676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7676">
              <w:rPr>
                <w:rFonts w:ascii="Calibri" w:eastAsia="Times New Roman" w:hAnsi="Calibri" w:cs="Times New Roman"/>
                <w:color w:val="000000"/>
              </w:rPr>
              <w:t>13.309%</w:t>
            </w:r>
          </w:p>
        </w:tc>
      </w:tr>
    </w:tbl>
    <w:p w:rsidR="0011363A" w:rsidRDefault="00C236E5" w:rsidP="009166C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Urban/Rural </w:t>
      </w:r>
      <w:r w:rsidR="0041330E">
        <w:rPr>
          <w:rFonts w:ascii="Times New Roman" w:hAnsi="Times New Roman"/>
          <w:sz w:val="24"/>
        </w:rPr>
        <w:t>Status</w:t>
      </w:r>
    </w:p>
    <w:p w:rsidR="00C236E5" w:rsidRDefault="00C236E5" w:rsidP="009166C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Urban/rural statu</w:t>
      </w:r>
      <w:r w:rsidR="00A6304A">
        <w:rPr>
          <w:rFonts w:ascii="Times New Roman" w:hAnsi="Times New Roman"/>
          <w:sz w:val="24"/>
        </w:rPr>
        <w:t>s is measured by chara</w:t>
      </w:r>
      <w:r>
        <w:rPr>
          <w:rFonts w:ascii="Times New Roman" w:hAnsi="Times New Roman"/>
          <w:sz w:val="24"/>
        </w:rPr>
        <w:t xml:space="preserve">cter variable “UR”. For urban areas, </w:t>
      </w:r>
      <w:r w:rsidR="00195DD5">
        <w:rPr>
          <w:rFonts w:ascii="Times New Roman" w:hAnsi="Times New Roman"/>
          <w:sz w:val="24"/>
        </w:rPr>
        <w:t xml:space="preserve">UR </w:t>
      </w:r>
      <w:r>
        <w:rPr>
          <w:rFonts w:ascii="Times New Roman" w:hAnsi="Times New Roman"/>
          <w:sz w:val="24"/>
        </w:rPr>
        <w:t xml:space="preserve">equals “U”. For rural areas, </w:t>
      </w:r>
      <w:r w:rsidR="00195DD5">
        <w:rPr>
          <w:rFonts w:ascii="Times New Roman" w:hAnsi="Times New Roman"/>
          <w:sz w:val="24"/>
        </w:rPr>
        <w:t xml:space="preserve">UR </w:t>
      </w:r>
      <w:r>
        <w:rPr>
          <w:rFonts w:ascii="Times New Roman" w:hAnsi="Times New Roman"/>
          <w:sz w:val="24"/>
        </w:rPr>
        <w:t>equals “R”. Missing or suppressed values are blank. Table 5 reports population and weighted sample frequencies.</w:t>
      </w:r>
    </w:p>
    <w:p w:rsidR="009C2E5E" w:rsidRDefault="009C2E5E" w:rsidP="009166C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Table 5: Urban/Rural Frequencies</w:t>
      </w:r>
    </w:p>
    <w:tbl>
      <w:tblPr>
        <w:tblW w:w="6220" w:type="dxa"/>
        <w:tblInd w:w="93" w:type="dxa"/>
        <w:tblLook w:val="04A0"/>
      </w:tblPr>
      <w:tblGrid>
        <w:gridCol w:w="1360"/>
        <w:gridCol w:w="1200"/>
        <w:gridCol w:w="1164"/>
        <w:gridCol w:w="1340"/>
        <w:gridCol w:w="1260"/>
      </w:tblGrid>
      <w:tr w:rsidR="006154C3" w:rsidRPr="006154C3" w:rsidTr="006154C3">
        <w:trPr>
          <w:trHeight w:val="12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6154C3" w:rsidRPr="006154C3" w:rsidRDefault="006154C3" w:rsidP="006154C3">
            <w:pPr>
              <w:spacing w:before="0"/>
              <w:rPr>
                <w:rFonts w:ascii="Calibri" w:eastAsia="Times New Roman" w:hAnsi="Calibri" w:cs="Times New Roman"/>
                <w:color w:val="FFFFFF"/>
              </w:rPr>
            </w:pPr>
            <w:r w:rsidRPr="006154C3">
              <w:rPr>
                <w:rFonts w:ascii="Calibri" w:eastAsia="Times New Roman" w:hAnsi="Calibri" w:cs="Times New Roman"/>
                <w:color w:val="FFFFFF"/>
              </w:rPr>
              <w:t>Urban/Rural Indicator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6154C3" w:rsidRPr="006154C3" w:rsidRDefault="006154C3" w:rsidP="006154C3">
            <w:pPr>
              <w:spacing w:before="0"/>
              <w:jc w:val="right"/>
              <w:rPr>
                <w:rFonts w:ascii="Calibri" w:eastAsia="Times New Roman" w:hAnsi="Calibri" w:cs="Times New Roman"/>
                <w:color w:val="FFFFFF"/>
              </w:rPr>
            </w:pPr>
            <w:r w:rsidRPr="006154C3">
              <w:rPr>
                <w:rFonts w:ascii="Calibri" w:eastAsia="Times New Roman" w:hAnsi="Calibri" w:cs="Times New Roman"/>
                <w:color w:val="FFFFFF"/>
              </w:rPr>
              <w:t>Population count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6154C3" w:rsidRPr="006154C3" w:rsidRDefault="006154C3" w:rsidP="006154C3">
            <w:pPr>
              <w:spacing w:before="0"/>
              <w:jc w:val="right"/>
              <w:rPr>
                <w:rFonts w:ascii="Calibri" w:eastAsia="Times New Roman" w:hAnsi="Calibri" w:cs="Times New Roman"/>
                <w:color w:val="FFFFFF"/>
              </w:rPr>
            </w:pPr>
            <w:r w:rsidRPr="006154C3">
              <w:rPr>
                <w:rFonts w:ascii="Calibri" w:eastAsia="Times New Roman" w:hAnsi="Calibri" w:cs="Times New Roman"/>
                <w:color w:val="FFFFFF"/>
              </w:rPr>
              <w:t>Weighted sample count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6154C3" w:rsidRPr="006154C3" w:rsidRDefault="006154C3" w:rsidP="006154C3">
            <w:pPr>
              <w:spacing w:before="0"/>
              <w:jc w:val="right"/>
              <w:rPr>
                <w:rFonts w:ascii="Calibri" w:eastAsia="Times New Roman" w:hAnsi="Calibri" w:cs="Times New Roman"/>
                <w:color w:val="FFFFFF"/>
              </w:rPr>
            </w:pPr>
            <w:r w:rsidRPr="006154C3">
              <w:rPr>
                <w:rFonts w:ascii="Calibri" w:eastAsia="Times New Roman" w:hAnsi="Calibri" w:cs="Times New Roman"/>
                <w:color w:val="FFFFFF"/>
              </w:rPr>
              <w:t>Population percentage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6154C3" w:rsidRPr="006154C3" w:rsidRDefault="006154C3" w:rsidP="006154C3">
            <w:pPr>
              <w:spacing w:before="0"/>
              <w:jc w:val="right"/>
              <w:rPr>
                <w:rFonts w:ascii="Calibri" w:eastAsia="Times New Roman" w:hAnsi="Calibri" w:cs="Times New Roman"/>
                <w:color w:val="FFFFFF"/>
              </w:rPr>
            </w:pPr>
            <w:r w:rsidRPr="006154C3">
              <w:rPr>
                <w:rFonts w:ascii="Calibri" w:eastAsia="Times New Roman" w:hAnsi="Calibri" w:cs="Times New Roman"/>
                <w:color w:val="FFFFFF"/>
              </w:rPr>
              <w:t>Weighted sample percentage</w:t>
            </w:r>
          </w:p>
        </w:tc>
      </w:tr>
      <w:tr w:rsidR="006154C3" w:rsidRPr="006154C3" w:rsidTr="006154C3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C3" w:rsidRPr="006154C3" w:rsidRDefault="006154C3" w:rsidP="006154C3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6154C3">
              <w:rPr>
                <w:rFonts w:ascii="Calibri" w:eastAsia="Times New Roman" w:hAnsi="Calibri" w:cs="Times New Roman"/>
                <w:color w:val="000000"/>
              </w:rPr>
              <w:t>Missing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C3" w:rsidRPr="006154C3" w:rsidRDefault="006154C3" w:rsidP="006154C3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54C3">
              <w:rPr>
                <w:rFonts w:ascii="Calibri" w:eastAsia="Times New Roman" w:hAnsi="Calibri" w:cs="Times New Roman"/>
                <w:color w:val="000000"/>
              </w:rPr>
              <w:t>395674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C3" w:rsidRPr="006154C3" w:rsidRDefault="006154C3" w:rsidP="006154C3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54C3">
              <w:rPr>
                <w:rFonts w:ascii="Calibri" w:eastAsia="Times New Roman" w:hAnsi="Calibri" w:cs="Times New Roman"/>
                <w:color w:val="000000"/>
              </w:rPr>
              <w:t>393406.27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C3" w:rsidRPr="006154C3" w:rsidRDefault="006154C3" w:rsidP="006154C3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54C3">
              <w:rPr>
                <w:rFonts w:ascii="Calibri" w:eastAsia="Times New Roman" w:hAnsi="Calibri" w:cs="Times New Roman"/>
                <w:color w:val="000000"/>
              </w:rPr>
              <w:t>12.150%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C3" w:rsidRPr="006154C3" w:rsidRDefault="006154C3" w:rsidP="006154C3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54C3">
              <w:rPr>
                <w:rFonts w:ascii="Calibri" w:eastAsia="Times New Roman" w:hAnsi="Calibri" w:cs="Times New Roman"/>
                <w:color w:val="000000"/>
              </w:rPr>
              <w:t>12.110%</w:t>
            </w:r>
          </w:p>
        </w:tc>
      </w:tr>
      <w:tr w:rsidR="006154C3" w:rsidRPr="006154C3" w:rsidTr="006154C3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C3" w:rsidRPr="006154C3" w:rsidRDefault="006154C3" w:rsidP="006154C3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6154C3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C3" w:rsidRPr="006154C3" w:rsidRDefault="006154C3" w:rsidP="006154C3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54C3">
              <w:rPr>
                <w:rFonts w:ascii="Calibri" w:eastAsia="Times New Roman" w:hAnsi="Calibri" w:cs="Times New Roman"/>
                <w:color w:val="000000"/>
              </w:rPr>
              <w:t>154029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C3" w:rsidRPr="006154C3" w:rsidRDefault="006154C3" w:rsidP="006154C3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54C3">
              <w:rPr>
                <w:rFonts w:ascii="Calibri" w:eastAsia="Times New Roman" w:hAnsi="Calibri" w:cs="Times New Roman"/>
                <w:color w:val="000000"/>
              </w:rPr>
              <w:t>151992.54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C3" w:rsidRPr="006154C3" w:rsidRDefault="006154C3" w:rsidP="006154C3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54C3">
              <w:rPr>
                <w:rFonts w:ascii="Calibri" w:eastAsia="Times New Roman" w:hAnsi="Calibri" w:cs="Times New Roman"/>
                <w:color w:val="000000"/>
              </w:rPr>
              <w:t>4.730%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C3" w:rsidRPr="006154C3" w:rsidRDefault="006154C3" w:rsidP="006154C3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54C3">
              <w:rPr>
                <w:rFonts w:ascii="Calibri" w:eastAsia="Times New Roman" w:hAnsi="Calibri" w:cs="Times New Roman"/>
                <w:color w:val="000000"/>
              </w:rPr>
              <w:t>4.679%</w:t>
            </w:r>
          </w:p>
        </w:tc>
      </w:tr>
      <w:tr w:rsidR="006154C3" w:rsidRPr="006154C3" w:rsidTr="006154C3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C3" w:rsidRPr="006154C3" w:rsidRDefault="006154C3" w:rsidP="006154C3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6154C3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C3" w:rsidRPr="006154C3" w:rsidRDefault="006154C3" w:rsidP="006154C3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54C3">
              <w:rPr>
                <w:rFonts w:ascii="Calibri" w:eastAsia="Times New Roman" w:hAnsi="Calibri" w:cs="Times New Roman"/>
                <w:color w:val="000000"/>
              </w:rPr>
              <w:t>2706865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C3" w:rsidRPr="006154C3" w:rsidRDefault="006154C3" w:rsidP="006154C3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54C3">
              <w:rPr>
                <w:rFonts w:ascii="Calibri" w:eastAsia="Times New Roman" w:hAnsi="Calibri" w:cs="Times New Roman"/>
                <w:color w:val="000000"/>
              </w:rPr>
              <w:t>2703248.2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C3" w:rsidRPr="006154C3" w:rsidRDefault="006154C3" w:rsidP="006154C3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54C3">
              <w:rPr>
                <w:rFonts w:ascii="Calibri" w:eastAsia="Times New Roman" w:hAnsi="Calibri" w:cs="Times New Roman"/>
                <w:color w:val="000000"/>
              </w:rPr>
              <w:t>83.120%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C3" w:rsidRPr="006154C3" w:rsidRDefault="006154C3" w:rsidP="006154C3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54C3">
              <w:rPr>
                <w:rFonts w:ascii="Calibri" w:eastAsia="Times New Roman" w:hAnsi="Calibri" w:cs="Times New Roman"/>
                <w:color w:val="000000"/>
              </w:rPr>
              <w:t>83.212%</w:t>
            </w:r>
          </w:p>
        </w:tc>
      </w:tr>
    </w:tbl>
    <w:p w:rsidR="0041330E" w:rsidRDefault="0041330E" w:rsidP="004133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Metropolitan Status</w:t>
      </w:r>
    </w:p>
    <w:p w:rsidR="0041330E" w:rsidRDefault="0041330E" w:rsidP="004133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Metropolitan status is measured by character variable “metro”. For metropolitan areas, metro equals “Metropolitan”. For </w:t>
      </w:r>
      <w:proofErr w:type="spellStart"/>
      <w:r>
        <w:rPr>
          <w:rFonts w:ascii="Times New Roman" w:hAnsi="Times New Roman"/>
          <w:sz w:val="24"/>
        </w:rPr>
        <w:t>micropolitan</w:t>
      </w:r>
      <w:proofErr w:type="spellEnd"/>
      <w:r>
        <w:rPr>
          <w:rFonts w:ascii="Times New Roman" w:hAnsi="Times New Roman"/>
          <w:sz w:val="24"/>
        </w:rPr>
        <w:t xml:space="preserve"> areas, metro equals “</w:t>
      </w:r>
      <w:proofErr w:type="spellStart"/>
      <w:r>
        <w:rPr>
          <w:rFonts w:ascii="Times New Roman" w:hAnsi="Times New Roman"/>
          <w:sz w:val="24"/>
        </w:rPr>
        <w:t>Micropolitan</w:t>
      </w:r>
      <w:proofErr w:type="spellEnd"/>
      <w:r>
        <w:rPr>
          <w:rFonts w:ascii="Times New Roman" w:hAnsi="Times New Roman"/>
          <w:sz w:val="24"/>
        </w:rPr>
        <w:t>”. Non-metropolitan areas are defined as areas outside of Core Based Statistical Areas (CBSAs). For non-metropolitan areas, metro equals “Non-CBSA”. Missing or suppressed values are blank. Table 6 reports population and weighted sample frequencies.</w:t>
      </w:r>
    </w:p>
    <w:p w:rsidR="0069549B" w:rsidRDefault="0069549B" w:rsidP="0041330E">
      <w:pPr>
        <w:rPr>
          <w:rFonts w:ascii="Times New Roman" w:hAnsi="Times New Roman"/>
          <w:sz w:val="24"/>
        </w:rPr>
      </w:pPr>
    </w:p>
    <w:p w:rsidR="0069549B" w:rsidRDefault="0069549B" w:rsidP="0041330E">
      <w:pPr>
        <w:rPr>
          <w:rFonts w:ascii="Times New Roman" w:hAnsi="Times New Roman"/>
          <w:sz w:val="24"/>
        </w:rPr>
      </w:pPr>
    </w:p>
    <w:p w:rsidR="0069549B" w:rsidRDefault="0069549B" w:rsidP="0041330E">
      <w:pPr>
        <w:rPr>
          <w:rFonts w:ascii="Times New Roman" w:hAnsi="Times New Roman"/>
          <w:sz w:val="24"/>
        </w:rPr>
      </w:pPr>
    </w:p>
    <w:p w:rsidR="00467C5F" w:rsidRDefault="00467C5F" w:rsidP="004133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Table 6: Metropolitan Status Frequencies</w:t>
      </w:r>
    </w:p>
    <w:tbl>
      <w:tblPr>
        <w:tblW w:w="6040" w:type="dxa"/>
        <w:tblInd w:w="93" w:type="dxa"/>
        <w:tblLook w:val="04A0"/>
      </w:tblPr>
      <w:tblGrid>
        <w:gridCol w:w="1408"/>
        <w:gridCol w:w="1189"/>
        <w:gridCol w:w="1164"/>
        <w:gridCol w:w="1228"/>
        <w:gridCol w:w="1260"/>
      </w:tblGrid>
      <w:tr w:rsidR="00410804" w:rsidRPr="00410804" w:rsidTr="00410804">
        <w:trPr>
          <w:trHeight w:val="9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410804" w:rsidRPr="00410804" w:rsidRDefault="00410804" w:rsidP="00410804">
            <w:pPr>
              <w:spacing w:before="0"/>
              <w:rPr>
                <w:rFonts w:ascii="Calibri" w:eastAsia="Times New Roman" w:hAnsi="Calibri" w:cs="Times New Roman"/>
                <w:color w:val="FFFFFF"/>
              </w:rPr>
            </w:pPr>
            <w:r w:rsidRPr="00410804">
              <w:rPr>
                <w:rFonts w:ascii="Calibri" w:eastAsia="Times New Roman" w:hAnsi="Calibri" w:cs="Times New Roman"/>
                <w:color w:val="FFFFFF"/>
              </w:rPr>
              <w:t>Metropolitan Status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410804" w:rsidRPr="00410804" w:rsidRDefault="00410804" w:rsidP="00410804">
            <w:pPr>
              <w:spacing w:before="0"/>
              <w:jc w:val="right"/>
              <w:rPr>
                <w:rFonts w:ascii="Calibri" w:eastAsia="Times New Roman" w:hAnsi="Calibri" w:cs="Times New Roman"/>
                <w:color w:val="FFFFFF"/>
              </w:rPr>
            </w:pPr>
            <w:r w:rsidRPr="00410804">
              <w:rPr>
                <w:rFonts w:ascii="Calibri" w:eastAsia="Times New Roman" w:hAnsi="Calibri" w:cs="Times New Roman"/>
                <w:color w:val="FFFFFF"/>
              </w:rPr>
              <w:t>Population count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410804" w:rsidRPr="00410804" w:rsidRDefault="00410804" w:rsidP="00410804">
            <w:pPr>
              <w:spacing w:before="0"/>
              <w:jc w:val="right"/>
              <w:rPr>
                <w:rFonts w:ascii="Calibri" w:eastAsia="Times New Roman" w:hAnsi="Calibri" w:cs="Times New Roman"/>
                <w:color w:val="FFFFFF"/>
              </w:rPr>
            </w:pPr>
            <w:r w:rsidRPr="00410804">
              <w:rPr>
                <w:rFonts w:ascii="Calibri" w:eastAsia="Times New Roman" w:hAnsi="Calibri" w:cs="Times New Roman"/>
                <w:color w:val="FFFFFF"/>
              </w:rPr>
              <w:t>Weighted sample count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410804" w:rsidRPr="00410804" w:rsidRDefault="00410804" w:rsidP="00410804">
            <w:pPr>
              <w:spacing w:before="0"/>
              <w:jc w:val="right"/>
              <w:rPr>
                <w:rFonts w:ascii="Calibri" w:eastAsia="Times New Roman" w:hAnsi="Calibri" w:cs="Times New Roman"/>
                <w:color w:val="FFFFFF"/>
              </w:rPr>
            </w:pPr>
            <w:r w:rsidRPr="00410804">
              <w:rPr>
                <w:rFonts w:ascii="Calibri" w:eastAsia="Times New Roman" w:hAnsi="Calibri" w:cs="Times New Roman"/>
                <w:color w:val="FFFFFF"/>
              </w:rPr>
              <w:t>Population percentage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410804" w:rsidRPr="00410804" w:rsidRDefault="00410804" w:rsidP="00410804">
            <w:pPr>
              <w:spacing w:before="0"/>
              <w:jc w:val="right"/>
              <w:rPr>
                <w:rFonts w:ascii="Calibri" w:eastAsia="Times New Roman" w:hAnsi="Calibri" w:cs="Times New Roman"/>
                <w:color w:val="FFFFFF"/>
              </w:rPr>
            </w:pPr>
            <w:r w:rsidRPr="00410804">
              <w:rPr>
                <w:rFonts w:ascii="Calibri" w:eastAsia="Times New Roman" w:hAnsi="Calibri" w:cs="Times New Roman"/>
                <w:color w:val="FFFFFF"/>
              </w:rPr>
              <w:t>Weighted sample percentage</w:t>
            </w:r>
          </w:p>
        </w:tc>
      </w:tr>
      <w:tr w:rsidR="00410804" w:rsidRPr="00410804" w:rsidTr="00410804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04" w:rsidRPr="00410804" w:rsidRDefault="00410804" w:rsidP="00410804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410804">
              <w:rPr>
                <w:rFonts w:ascii="Calibri" w:eastAsia="Times New Roman" w:hAnsi="Calibri" w:cs="Times New Roman"/>
                <w:color w:val="000000"/>
              </w:rPr>
              <w:t>Missing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04" w:rsidRPr="00410804" w:rsidRDefault="00410804" w:rsidP="00410804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0804">
              <w:rPr>
                <w:rFonts w:ascii="Calibri" w:eastAsia="Times New Roman" w:hAnsi="Calibri" w:cs="Times New Roman"/>
                <w:color w:val="000000"/>
              </w:rPr>
              <w:t>750009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04" w:rsidRPr="00410804" w:rsidRDefault="00410804" w:rsidP="00410804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0804">
              <w:rPr>
                <w:rFonts w:ascii="Calibri" w:eastAsia="Times New Roman" w:hAnsi="Calibri" w:cs="Times New Roman"/>
                <w:color w:val="000000"/>
              </w:rPr>
              <w:t>749840.42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04" w:rsidRPr="00410804" w:rsidRDefault="00410804" w:rsidP="00410804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0804">
              <w:rPr>
                <w:rFonts w:ascii="Calibri" w:eastAsia="Times New Roman" w:hAnsi="Calibri" w:cs="Times New Roman"/>
                <w:color w:val="000000"/>
              </w:rPr>
              <w:t>23.031%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04" w:rsidRPr="00410804" w:rsidRDefault="00410804" w:rsidP="00410804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0804">
              <w:rPr>
                <w:rFonts w:ascii="Calibri" w:eastAsia="Times New Roman" w:hAnsi="Calibri" w:cs="Times New Roman"/>
                <w:color w:val="000000"/>
              </w:rPr>
              <w:t>23.082%</w:t>
            </w:r>
          </w:p>
        </w:tc>
      </w:tr>
      <w:tr w:rsidR="00410804" w:rsidRPr="00410804" w:rsidTr="00410804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04" w:rsidRPr="00410804" w:rsidRDefault="00410804" w:rsidP="00410804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410804">
              <w:rPr>
                <w:rFonts w:ascii="Calibri" w:eastAsia="Times New Roman" w:hAnsi="Calibri" w:cs="Times New Roman"/>
                <w:color w:val="000000"/>
              </w:rPr>
              <w:t>Metropolitan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04" w:rsidRPr="00410804" w:rsidRDefault="00410804" w:rsidP="00410804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0804">
              <w:rPr>
                <w:rFonts w:ascii="Calibri" w:eastAsia="Times New Roman" w:hAnsi="Calibri" w:cs="Times New Roman"/>
                <w:color w:val="000000"/>
              </w:rPr>
              <w:t>2047864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04" w:rsidRPr="00410804" w:rsidRDefault="00410804" w:rsidP="00410804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0804">
              <w:rPr>
                <w:rFonts w:ascii="Calibri" w:eastAsia="Times New Roman" w:hAnsi="Calibri" w:cs="Times New Roman"/>
                <w:color w:val="000000"/>
              </w:rPr>
              <w:t>2039314.5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04" w:rsidRPr="00410804" w:rsidRDefault="00410804" w:rsidP="00410804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0804">
              <w:rPr>
                <w:rFonts w:ascii="Calibri" w:eastAsia="Times New Roman" w:hAnsi="Calibri" w:cs="Times New Roman"/>
                <w:color w:val="000000"/>
              </w:rPr>
              <w:t>62.884%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04" w:rsidRPr="00410804" w:rsidRDefault="00410804" w:rsidP="00410804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0804">
              <w:rPr>
                <w:rFonts w:ascii="Calibri" w:eastAsia="Times New Roman" w:hAnsi="Calibri" w:cs="Times New Roman"/>
                <w:color w:val="000000"/>
              </w:rPr>
              <w:t>62.774%</w:t>
            </w:r>
          </w:p>
        </w:tc>
      </w:tr>
      <w:tr w:rsidR="00410804" w:rsidRPr="00410804" w:rsidTr="00410804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04" w:rsidRPr="00410804" w:rsidRDefault="00410804" w:rsidP="00410804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10804">
              <w:rPr>
                <w:rFonts w:ascii="Calibri" w:eastAsia="Times New Roman" w:hAnsi="Calibri" w:cs="Times New Roman"/>
                <w:color w:val="000000"/>
              </w:rPr>
              <w:t>Micropolitan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04" w:rsidRPr="00410804" w:rsidRDefault="00410804" w:rsidP="00410804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0804">
              <w:rPr>
                <w:rFonts w:ascii="Calibri" w:eastAsia="Times New Roman" w:hAnsi="Calibri" w:cs="Times New Roman"/>
                <w:color w:val="000000"/>
              </w:rPr>
              <w:t>299683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04" w:rsidRPr="00410804" w:rsidRDefault="00410804" w:rsidP="00410804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0804">
              <w:rPr>
                <w:rFonts w:ascii="Calibri" w:eastAsia="Times New Roman" w:hAnsi="Calibri" w:cs="Times New Roman"/>
                <w:color w:val="000000"/>
              </w:rPr>
              <w:t>299992.18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04" w:rsidRPr="00410804" w:rsidRDefault="00410804" w:rsidP="00410804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0804">
              <w:rPr>
                <w:rFonts w:ascii="Calibri" w:eastAsia="Times New Roman" w:hAnsi="Calibri" w:cs="Times New Roman"/>
                <w:color w:val="000000"/>
              </w:rPr>
              <w:t>9.202%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04" w:rsidRPr="00410804" w:rsidRDefault="00410804" w:rsidP="00410804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0804">
              <w:rPr>
                <w:rFonts w:ascii="Calibri" w:eastAsia="Times New Roman" w:hAnsi="Calibri" w:cs="Times New Roman"/>
                <w:color w:val="000000"/>
              </w:rPr>
              <w:t>9.234%</w:t>
            </w:r>
          </w:p>
        </w:tc>
      </w:tr>
      <w:tr w:rsidR="00410804" w:rsidRPr="00410804" w:rsidTr="00410804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04" w:rsidRPr="00410804" w:rsidRDefault="00410804" w:rsidP="00410804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410804">
              <w:rPr>
                <w:rFonts w:ascii="Calibri" w:eastAsia="Times New Roman" w:hAnsi="Calibri" w:cs="Times New Roman"/>
                <w:color w:val="000000"/>
              </w:rPr>
              <w:t>Non-CBSA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04" w:rsidRPr="00410804" w:rsidRDefault="00410804" w:rsidP="00410804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0804">
              <w:rPr>
                <w:rFonts w:ascii="Calibri" w:eastAsia="Times New Roman" w:hAnsi="Calibri" w:cs="Times New Roman"/>
                <w:color w:val="000000"/>
              </w:rPr>
              <w:t>159012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04" w:rsidRPr="00410804" w:rsidRDefault="00410804" w:rsidP="00410804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0804">
              <w:rPr>
                <w:rFonts w:ascii="Calibri" w:eastAsia="Times New Roman" w:hAnsi="Calibri" w:cs="Times New Roman"/>
                <w:color w:val="000000"/>
              </w:rPr>
              <w:t>159499.94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04" w:rsidRPr="00410804" w:rsidRDefault="00410804" w:rsidP="00410804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0804">
              <w:rPr>
                <w:rFonts w:ascii="Calibri" w:eastAsia="Times New Roman" w:hAnsi="Calibri" w:cs="Times New Roman"/>
                <w:color w:val="000000"/>
              </w:rPr>
              <w:t>4.883%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04" w:rsidRPr="00410804" w:rsidRDefault="00410804" w:rsidP="00410804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0804">
              <w:rPr>
                <w:rFonts w:ascii="Calibri" w:eastAsia="Times New Roman" w:hAnsi="Calibri" w:cs="Times New Roman"/>
                <w:color w:val="000000"/>
              </w:rPr>
              <w:t>4.910%</w:t>
            </w:r>
          </w:p>
        </w:tc>
      </w:tr>
    </w:tbl>
    <w:p w:rsidR="00A91FA3" w:rsidRDefault="00D71C79" w:rsidP="00A91FA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A91FA3">
        <w:rPr>
          <w:rFonts w:ascii="Times New Roman" w:hAnsi="Times New Roman"/>
          <w:sz w:val="24"/>
        </w:rPr>
        <w:t xml:space="preserve">. </w:t>
      </w:r>
      <w:r w:rsidR="00EA54DE">
        <w:rPr>
          <w:rFonts w:ascii="Times New Roman" w:hAnsi="Times New Roman"/>
          <w:sz w:val="24"/>
        </w:rPr>
        <w:t>Household Type</w:t>
      </w:r>
    </w:p>
    <w:p w:rsidR="00410804" w:rsidRDefault="00410804" w:rsidP="00A91FA3">
      <w:pPr>
        <w:rPr>
          <w:rFonts w:ascii="Times New Roman" w:hAnsi="Times New Roman"/>
          <w:sz w:val="24"/>
        </w:rPr>
      </w:pPr>
    </w:p>
    <w:p w:rsidR="00A91FA3" w:rsidRDefault="00EA54DE" w:rsidP="00A91FA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Household type </w:t>
      </w:r>
      <w:r w:rsidR="00BE4A22">
        <w:rPr>
          <w:rFonts w:ascii="Times New Roman" w:hAnsi="Times New Roman"/>
          <w:sz w:val="24"/>
        </w:rPr>
        <w:t>is measured by character</w:t>
      </w:r>
      <w:r w:rsidR="00A91FA3">
        <w:rPr>
          <w:rFonts w:ascii="Times New Roman" w:hAnsi="Times New Roman"/>
          <w:sz w:val="24"/>
        </w:rPr>
        <w:t xml:space="preserve"> variable “</w:t>
      </w:r>
      <w:r>
        <w:rPr>
          <w:rFonts w:ascii="Times New Roman" w:hAnsi="Times New Roman"/>
          <w:sz w:val="24"/>
        </w:rPr>
        <w:t>H6</w:t>
      </w:r>
      <w:r w:rsidR="00A91FA3">
        <w:rPr>
          <w:rFonts w:ascii="Times New Roman" w:hAnsi="Times New Roman"/>
          <w:sz w:val="24"/>
        </w:rPr>
        <w:t xml:space="preserve">”. </w:t>
      </w:r>
      <w:r w:rsidR="00BE4A22">
        <w:rPr>
          <w:rFonts w:ascii="Times New Roman" w:hAnsi="Times New Roman"/>
          <w:sz w:val="24"/>
        </w:rPr>
        <w:t>H6 equals “1” for households with an elderly head or spous</w:t>
      </w:r>
      <w:r w:rsidR="00B903AB">
        <w:rPr>
          <w:rFonts w:ascii="Times New Roman" w:hAnsi="Times New Roman"/>
          <w:sz w:val="24"/>
        </w:rPr>
        <w:t>e, and no children. H6 equals “2</w:t>
      </w:r>
      <w:r w:rsidR="00BE4A22">
        <w:rPr>
          <w:rFonts w:ascii="Times New Roman" w:hAnsi="Times New Roman"/>
          <w:sz w:val="24"/>
        </w:rPr>
        <w:t>” for non-elderly households where the head or spouse has disabilities, and there are no children. H6 equals “3” for other households with no chi</w:t>
      </w:r>
      <w:r w:rsidR="009D1D3A">
        <w:rPr>
          <w:rFonts w:ascii="Times New Roman" w:hAnsi="Times New Roman"/>
          <w:sz w:val="24"/>
        </w:rPr>
        <w:t>l</w:t>
      </w:r>
      <w:r w:rsidR="00BE4A22">
        <w:rPr>
          <w:rFonts w:ascii="Times New Roman" w:hAnsi="Times New Roman"/>
          <w:sz w:val="24"/>
        </w:rPr>
        <w:t xml:space="preserve">dren. H6 equals “4” for households with an elderly head or spouse, with children. H6 equals “5” for non-elderly households where the head or spouse has disabilities, </w:t>
      </w:r>
      <w:r w:rsidR="007D44B0">
        <w:rPr>
          <w:rFonts w:ascii="Times New Roman" w:hAnsi="Times New Roman"/>
          <w:sz w:val="24"/>
        </w:rPr>
        <w:t xml:space="preserve">with </w:t>
      </w:r>
      <w:r w:rsidR="00BE4A22">
        <w:rPr>
          <w:rFonts w:ascii="Times New Roman" w:hAnsi="Times New Roman"/>
          <w:sz w:val="24"/>
        </w:rPr>
        <w:t xml:space="preserve">children present. H6 equals “6” for other households with children. </w:t>
      </w:r>
      <w:r w:rsidR="006B3A30">
        <w:rPr>
          <w:rFonts w:ascii="Times New Roman" w:hAnsi="Times New Roman"/>
          <w:sz w:val="24"/>
        </w:rPr>
        <w:t xml:space="preserve">Elderly is defined as age 62 and above. </w:t>
      </w:r>
      <w:r w:rsidR="00D71C79">
        <w:rPr>
          <w:rFonts w:ascii="Times New Roman" w:hAnsi="Times New Roman"/>
          <w:sz w:val="24"/>
        </w:rPr>
        <w:t>Table 7</w:t>
      </w:r>
      <w:r w:rsidR="00A91FA3">
        <w:rPr>
          <w:rFonts w:ascii="Times New Roman" w:hAnsi="Times New Roman"/>
          <w:sz w:val="24"/>
        </w:rPr>
        <w:t xml:space="preserve"> reports population and weighted sample frequencies.</w:t>
      </w:r>
    </w:p>
    <w:p w:rsidR="009D1D3A" w:rsidRDefault="00D71C79" w:rsidP="00A91FA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Table 7</w:t>
      </w:r>
      <w:r w:rsidR="007116D3">
        <w:rPr>
          <w:rFonts w:ascii="Times New Roman" w:hAnsi="Times New Roman"/>
          <w:sz w:val="24"/>
        </w:rPr>
        <w:t>: Household Type Frequencies</w:t>
      </w:r>
    </w:p>
    <w:tbl>
      <w:tblPr>
        <w:tblW w:w="6100" w:type="dxa"/>
        <w:tblInd w:w="93" w:type="dxa"/>
        <w:tblLook w:val="04A0"/>
      </w:tblPr>
      <w:tblGrid>
        <w:gridCol w:w="1178"/>
        <w:gridCol w:w="1300"/>
        <w:gridCol w:w="1276"/>
        <w:gridCol w:w="1240"/>
        <w:gridCol w:w="1300"/>
      </w:tblGrid>
      <w:tr w:rsidR="007D44B0" w:rsidRPr="007D44B0" w:rsidTr="007D44B0">
        <w:trPr>
          <w:trHeight w:val="10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7D44B0" w:rsidRPr="007D44B0" w:rsidRDefault="007D44B0" w:rsidP="007D44B0">
            <w:pPr>
              <w:spacing w:before="0"/>
              <w:jc w:val="right"/>
              <w:rPr>
                <w:rFonts w:ascii="Calibri" w:eastAsia="Times New Roman" w:hAnsi="Calibri" w:cs="Times New Roman"/>
                <w:color w:val="FFFFFF"/>
              </w:rPr>
            </w:pPr>
            <w:r w:rsidRPr="007D44B0">
              <w:rPr>
                <w:rFonts w:ascii="Calibri" w:eastAsia="Times New Roman" w:hAnsi="Calibri" w:cs="Times New Roman"/>
                <w:color w:val="FFFFFF"/>
              </w:rPr>
              <w:t>Household Type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7D44B0" w:rsidRPr="007D44B0" w:rsidRDefault="007D44B0" w:rsidP="007D44B0">
            <w:pPr>
              <w:spacing w:before="0"/>
              <w:jc w:val="right"/>
              <w:rPr>
                <w:rFonts w:ascii="Calibri" w:eastAsia="Times New Roman" w:hAnsi="Calibri" w:cs="Times New Roman"/>
                <w:color w:val="FFFFFF"/>
              </w:rPr>
            </w:pPr>
            <w:r w:rsidRPr="007D44B0">
              <w:rPr>
                <w:rFonts w:ascii="Calibri" w:eastAsia="Times New Roman" w:hAnsi="Calibri" w:cs="Times New Roman"/>
                <w:color w:val="FFFFFF"/>
              </w:rPr>
              <w:t>Population count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7D44B0" w:rsidRPr="007D44B0" w:rsidRDefault="007D44B0" w:rsidP="007D44B0">
            <w:pPr>
              <w:spacing w:before="0"/>
              <w:jc w:val="right"/>
              <w:rPr>
                <w:rFonts w:ascii="Calibri" w:eastAsia="Times New Roman" w:hAnsi="Calibri" w:cs="Times New Roman"/>
                <w:color w:val="FFFFFF"/>
              </w:rPr>
            </w:pPr>
            <w:r w:rsidRPr="007D44B0">
              <w:rPr>
                <w:rFonts w:ascii="Calibri" w:eastAsia="Times New Roman" w:hAnsi="Calibri" w:cs="Times New Roman"/>
                <w:color w:val="FFFFFF"/>
              </w:rPr>
              <w:t>Weighted sample count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7D44B0" w:rsidRPr="007D44B0" w:rsidRDefault="007D44B0" w:rsidP="007D44B0">
            <w:pPr>
              <w:spacing w:before="0"/>
              <w:jc w:val="right"/>
              <w:rPr>
                <w:rFonts w:ascii="Calibri" w:eastAsia="Times New Roman" w:hAnsi="Calibri" w:cs="Times New Roman"/>
                <w:color w:val="FFFFFF"/>
              </w:rPr>
            </w:pPr>
            <w:r w:rsidRPr="007D44B0">
              <w:rPr>
                <w:rFonts w:ascii="Calibri" w:eastAsia="Times New Roman" w:hAnsi="Calibri" w:cs="Times New Roman"/>
                <w:color w:val="FFFFFF"/>
              </w:rPr>
              <w:t>Population percentage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7D44B0" w:rsidRPr="007D44B0" w:rsidRDefault="007D44B0" w:rsidP="007D44B0">
            <w:pPr>
              <w:spacing w:before="0"/>
              <w:jc w:val="right"/>
              <w:rPr>
                <w:rFonts w:ascii="Calibri" w:eastAsia="Times New Roman" w:hAnsi="Calibri" w:cs="Times New Roman"/>
                <w:color w:val="FFFFFF"/>
              </w:rPr>
            </w:pPr>
            <w:r w:rsidRPr="007D44B0">
              <w:rPr>
                <w:rFonts w:ascii="Calibri" w:eastAsia="Times New Roman" w:hAnsi="Calibri" w:cs="Times New Roman"/>
                <w:color w:val="FFFFFF"/>
              </w:rPr>
              <w:t>Weighted sample percentage</w:t>
            </w:r>
          </w:p>
        </w:tc>
      </w:tr>
      <w:tr w:rsidR="007D44B0" w:rsidRPr="007D44B0" w:rsidTr="007D44B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740312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736861.408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49.165%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49.031%</w:t>
            </w:r>
          </w:p>
        </w:tc>
      </w:tr>
      <w:tr w:rsidR="007D44B0" w:rsidRPr="007D44B0" w:rsidTr="007D44B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223454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226900.263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14.840%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15.098%</w:t>
            </w:r>
          </w:p>
        </w:tc>
      </w:tr>
      <w:tr w:rsidR="007D44B0" w:rsidRPr="007D44B0" w:rsidTr="007D44B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129152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128135.144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8.577%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8.526%</w:t>
            </w:r>
          </w:p>
        </w:tc>
      </w:tr>
      <w:tr w:rsidR="007D44B0" w:rsidRPr="007D44B0" w:rsidTr="007D44B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8138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7600.213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0.540%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0.506%</w:t>
            </w:r>
          </w:p>
        </w:tc>
      </w:tr>
      <w:tr w:rsidR="007D44B0" w:rsidRPr="007D44B0" w:rsidTr="007D44B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27950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27984.634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1.856%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1.862%</w:t>
            </w:r>
          </w:p>
        </w:tc>
      </w:tr>
      <w:tr w:rsidR="007D44B0" w:rsidRPr="007D44B0" w:rsidTr="007D44B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376769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375379.338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25.022%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24.978%</w:t>
            </w:r>
          </w:p>
        </w:tc>
      </w:tr>
    </w:tbl>
    <w:p w:rsidR="00C64E48" w:rsidRDefault="00D71C79" w:rsidP="00D0163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="005051F3">
        <w:rPr>
          <w:rFonts w:ascii="Times New Roman" w:hAnsi="Times New Roman"/>
          <w:sz w:val="24"/>
        </w:rPr>
        <w:t>.</w:t>
      </w:r>
      <w:r w:rsidR="00C64E48">
        <w:rPr>
          <w:rFonts w:ascii="Times New Roman" w:hAnsi="Times New Roman"/>
          <w:sz w:val="24"/>
        </w:rPr>
        <w:t xml:space="preserve"> </w:t>
      </w:r>
      <w:proofErr w:type="gramStart"/>
      <w:r w:rsidR="00C64E48">
        <w:rPr>
          <w:rFonts w:ascii="Times New Roman" w:hAnsi="Times New Roman"/>
          <w:sz w:val="24"/>
        </w:rPr>
        <w:t>Household  Members</w:t>
      </w:r>
      <w:proofErr w:type="gramEnd"/>
    </w:p>
    <w:p w:rsidR="005051F3" w:rsidRDefault="005051F3" w:rsidP="00D0163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</w:t>
      </w:r>
      <w:r w:rsidR="001E0D45">
        <w:rPr>
          <w:rFonts w:ascii="Times New Roman" w:hAnsi="Times New Roman"/>
          <w:sz w:val="24"/>
        </w:rPr>
        <w:t>ousehold member counts are</w:t>
      </w:r>
      <w:r>
        <w:rPr>
          <w:rFonts w:ascii="Times New Roman" w:hAnsi="Times New Roman"/>
          <w:sz w:val="24"/>
        </w:rPr>
        <w:t xml:space="preserve"> measured by numeric variable “</w:t>
      </w:r>
      <w:proofErr w:type="spellStart"/>
      <w:r>
        <w:rPr>
          <w:rFonts w:ascii="Times New Roman" w:hAnsi="Times New Roman"/>
          <w:sz w:val="24"/>
        </w:rPr>
        <w:t>mbrs</w:t>
      </w:r>
      <w:proofErr w:type="spellEnd"/>
      <w:r>
        <w:rPr>
          <w:rFonts w:ascii="Times New Roman" w:hAnsi="Times New Roman"/>
          <w:sz w:val="24"/>
        </w:rPr>
        <w:t>”, taking values of 1-7. Household members is top-coded at 7, thus 7 represents 7 or more householders. Missing or supp</w:t>
      </w:r>
      <w:r w:rsidR="00160961">
        <w:rPr>
          <w:rFonts w:ascii="Times New Roman" w:hAnsi="Times New Roman"/>
          <w:sz w:val="24"/>
        </w:rPr>
        <w:t>ressed values are blank. Table 8</w:t>
      </w:r>
      <w:r>
        <w:rPr>
          <w:rFonts w:ascii="Times New Roman" w:hAnsi="Times New Roman"/>
          <w:sz w:val="24"/>
        </w:rPr>
        <w:t xml:space="preserve"> reports population and weighted sample frequencies.</w:t>
      </w:r>
    </w:p>
    <w:p w:rsidR="0090679B" w:rsidRDefault="0090679B" w:rsidP="00D01637">
      <w:pPr>
        <w:rPr>
          <w:rFonts w:ascii="Times New Roman" w:hAnsi="Times New Roman"/>
          <w:sz w:val="24"/>
        </w:rPr>
      </w:pPr>
    </w:p>
    <w:p w:rsidR="0090679B" w:rsidRDefault="0090679B" w:rsidP="00D01637">
      <w:pPr>
        <w:rPr>
          <w:rFonts w:ascii="Times New Roman" w:hAnsi="Times New Roman"/>
          <w:sz w:val="24"/>
        </w:rPr>
      </w:pPr>
    </w:p>
    <w:p w:rsidR="0090679B" w:rsidRDefault="0090679B" w:rsidP="00D01637">
      <w:pPr>
        <w:rPr>
          <w:rFonts w:ascii="Times New Roman" w:hAnsi="Times New Roman"/>
          <w:sz w:val="24"/>
        </w:rPr>
      </w:pPr>
    </w:p>
    <w:p w:rsidR="00EA72F4" w:rsidRDefault="00D71C79" w:rsidP="00D0163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Table 8</w:t>
      </w:r>
      <w:r w:rsidR="00EA72F4">
        <w:rPr>
          <w:rFonts w:ascii="Times New Roman" w:hAnsi="Times New Roman"/>
          <w:sz w:val="24"/>
        </w:rPr>
        <w:t>: Household Member Frequencies</w:t>
      </w:r>
    </w:p>
    <w:tbl>
      <w:tblPr>
        <w:tblW w:w="5860" w:type="dxa"/>
        <w:tblInd w:w="93" w:type="dxa"/>
        <w:tblLook w:val="04A0"/>
      </w:tblPr>
      <w:tblGrid>
        <w:gridCol w:w="1200"/>
        <w:gridCol w:w="1189"/>
        <w:gridCol w:w="1164"/>
        <w:gridCol w:w="1228"/>
        <w:gridCol w:w="1240"/>
      </w:tblGrid>
      <w:tr w:rsidR="00C64E48" w:rsidRPr="00C64E48" w:rsidTr="00C64E48">
        <w:trPr>
          <w:trHeight w:val="9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C64E48" w:rsidRPr="00C64E48" w:rsidRDefault="00C64E48" w:rsidP="00C64E48">
            <w:pPr>
              <w:spacing w:before="0"/>
              <w:jc w:val="right"/>
              <w:rPr>
                <w:rFonts w:ascii="Calibri" w:eastAsia="Times New Roman" w:hAnsi="Calibri" w:cs="Times New Roman"/>
                <w:color w:val="FFFFFF"/>
              </w:rPr>
            </w:pPr>
            <w:r w:rsidRPr="00C64E48">
              <w:rPr>
                <w:rFonts w:ascii="Calibri" w:eastAsia="Times New Roman" w:hAnsi="Calibri" w:cs="Times New Roman"/>
                <w:color w:val="FFFFFF"/>
              </w:rPr>
              <w:t>Household Members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C64E48" w:rsidRPr="00C64E48" w:rsidRDefault="00C64E48" w:rsidP="00C64E48">
            <w:pPr>
              <w:spacing w:before="0"/>
              <w:jc w:val="right"/>
              <w:rPr>
                <w:rFonts w:ascii="Calibri" w:eastAsia="Times New Roman" w:hAnsi="Calibri" w:cs="Times New Roman"/>
                <w:color w:val="FFFFFF"/>
              </w:rPr>
            </w:pPr>
            <w:r w:rsidRPr="00C64E48">
              <w:rPr>
                <w:rFonts w:ascii="Calibri" w:eastAsia="Times New Roman" w:hAnsi="Calibri" w:cs="Times New Roman"/>
                <w:color w:val="FFFFFF"/>
              </w:rPr>
              <w:t>Population count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C64E48" w:rsidRPr="00C64E48" w:rsidRDefault="00C64E48" w:rsidP="00C64E48">
            <w:pPr>
              <w:spacing w:before="0"/>
              <w:jc w:val="right"/>
              <w:rPr>
                <w:rFonts w:ascii="Calibri" w:eastAsia="Times New Roman" w:hAnsi="Calibri" w:cs="Times New Roman"/>
                <w:color w:val="FFFFFF"/>
              </w:rPr>
            </w:pPr>
            <w:r w:rsidRPr="00C64E48">
              <w:rPr>
                <w:rFonts w:ascii="Calibri" w:eastAsia="Times New Roman" w:hAnsi="Calibri" w:cs="Times New Roman"/>
                <w:color w:val="FFFFFF"/>
              </w:rPr>
              <w:t>Weighted sample count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C64E48" w:rsidRPr="00C64E48" w:rsidRDefault="00C64E48" w:rsidP="00C64E48">
            <w:pPr>
              <w:spacing w:before="0"/>
              <w:jc w:val="right"/>
              <w:rPr>
                <w:rFonts w:ascii="Calibri" w:eastAsia="Times New Roman" w:hAnsi="Calibri" w:cs="Times New Roman"/>
                <w:color w:val="FFFFFF"/>
              </w:rPr>
            </w:pPr>
            <w:r w:rsidRPr="00C64E48">
              <w:rPr>
                <w:rFonts w:ascii="Calibri" w:eastAsia="Times New Roman" w:hAnsi="Calibri" w:cs="Times New Roman"/>
                <w:color w:val="FFFFFF"/>
              </w:rPr>
              <w:t>Population percentage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C64E48" w:rsidRPr="00C64E48" w:rsidRDefault="00C64E48" w:rsidP="00C64E48">
            <w:pPr>
              <w:spacing w:before="0"/>
              <w:jc w:val="right"/>
              <w:rPr>
                <w:rFonts w:ascii="Calibri" w:eastAsia="Times New Roman" w:hAnsi="Calibri" w:cs="Times New Roman"/>
                <w:color w:val="FFFFFF"/>
              </w:rPr>
            </w:pPr>
            <w:r w:rsidRPr="00C64E48">
              <w:rPr>
                <w:rFonts w:ascii="Calibri" w:eastAsia="Times New Roman" w:hAnsi="Calibri" w:cs="Times New Roman"/>
                <w:color w:val="FFFFFF"/>
              </w:rPr>
              <w:t>Weighted sample percentage</w:t>
            </w:r>
          </w:p>
        </w:tc>
      </w:tr>
      <w:tr w:rsidR="00C64E48" w:rsidRPr="00C64E48" w:rsidTr="00C64E4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8" w:rsidRPr="00C64E48" w:rsidRDefault="00C64E48" w:rsidP="00C64E48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C64E48">
              <w:rPr>
                <w:rFonts w:ascii="Calibri" w:eastAsia="Times New Roman" w:hAnsi="Calibri" w:cs="Times New Roman"/>
                <w:color w:val="000000"/>
              </w:rPr>
              <w:t>Missing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8" w:rsidRPr="00C64E48" w:rsidRDefault="00C64E48" w:rsidP="00C64E48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4E4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8" w:rsidRPr="00C64E48" w:rsidRDefault="00C64E48" w:rsidP="00C64E48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4E48">
              <w:rPr>
                <w:rFonts w:ascii="Calibri" w:eastAsia="Times New Roman" w:hAnsi="Calibri" w:cs="Times New Roman"/>
                <w:color w:val="000000"/>
              </w:rPr>
              <w:t>46026.661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8" w:rsidRPr="00C64E48" w:rsidRDefault="00C64E48" w:rsidP="00C64E48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4E48">
              <w:rPr>
                <w:rFonts w:ascii="Calibri" w:eastAsia="Times New Roman" w:hAnsi="Calibri" w:cs="Times New Roman"/>
                <w:color w:val="000000"/>
              </w:rPr>
              <w:t>0.000%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8" w:rsidRPr="00C64E48" w:rsidRDefault="00C64E48" w:rsidP="00C64E48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4E48">
              <w:rPr>
                <w:rFonts w:ascii="Calibri" w:eastAsia="Times New Roman" w:hAnsi="Calibri" w:cs="Times New Roman"/>
                <w:color w:val="000000"/>
              </w:rPr>
              <w:t>1.417%</w:t>
            </w:r>
          </w:p>
        </w:tc>
      </w:tr>
      <w:tr w:rsidR="00C64E48" w:rsidRPr="00C64E48" w:rsidTr="00C64E4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8" w:rsidRPr="00C64E48" w:rsidRDefault="00C64E48" w:rsidP="00C64E48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4E4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8" w:rsidRPr="00C64E48" w:rsidRDefault="00C64E48" w:rsidP="00C64E48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4E48">
              <w:rPr>
                <w:rFonts w:ascii="Calibri" w:eastAsia="Times New Roman" w:hAnsi="Calibri" w:cs="Times New Roman"/>
                <w:color w:val="000000"/>
              </w:rPr>
              <w:t>873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8" w:rsidRPr="00C64E48" w:rsidRDefault="00C64E48" w:rsidP="00C64E48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4E48">
              <w:rPr>
                <w:rFonts w:ascii="Calibri" w:eastAsia="Times New Roman" w:hAnsi="Calibri" w:cs="Times New Roman"/>
                <w:color w:val="000000"/>
              </w:rPr>
              <w:t>611.00955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8" w:rsidRPr="00C64E48" w:rsidRDefault="00C64E48" w:rsidP="00C64E48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4E48">
              <w:rPr>
                <w:rFonts w:ascii="Calibri" w:eastAsia="Times New Roman" w:hAnsi="Calibri" w:cs="Times New Roman"/>
                <w:color w:val="000000"/>
              </w:rPr>
              <w:t>0.027%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8" w:rsidRPr="00C64E48" w:rsidRDefault="00C64E48" w:rsidP="00C64E48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4E48">
              <w:rPr>
                <w:rFonts w:ascii="Calibri" w:eastAsia="Times New Roman" w:hAnsi="Calibri" w:cs="Times New Roman"/>
                <w:color w:val="000000"/>
              </w:rPr>
              <w:t>0.019%</w:t>
            </w:r>
          </w:p>
        </w:tc>
      </w:tr>
      <w:tr w:rsidR="00C64E48" w:rsidRPr="00C64E48" w:rsidTr="00C64E4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8" w:rsidRPr="00C64E48" w:rsidRDefault="00C64E48" w:rsidP="00C64E48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4E4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8" w:rsidRPr="00C64E48" w:rsidRDefault="00C64E48" w:rsidP="00C64E48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4E48">
              <w:rPr>
                <w:rFonts w:ascii="Calibri" w:eastAsia="Times New Roman" w:hAnsi="Calibri" w:cs="Times New Roman"/>
                <w:color w:val="000000"/>
              </w:rPr>
              <w:t>1301435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8" w:rsidRPr="00C64E48" w:rsidRDefault="00C64E48" w:rsidP="00C64E48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4E48">
              <w:rPr>
                <w:rFonts w:ascii="Calibri" w:eastAsia="Times New Roman" w:hAnsi="Calibri" w:cs="Times New Roman"/>
                <w:color w:val="000000"/>
              </w:rPr>
              <w:t>1294431.9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8" w:rsidRPr="00C64E48" w:rsidRDefault="00C64E48" w:rsidP="00C64E48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4E48">
              <w:rPr>
                <w:rFonts w:ascii="Calibri" w:eastAsia="Times New Roman" w:hAnsi="Calibri" w:cs="Times New Roman"/>
                <w:color w:val="000000"/>
              </w:rPr>
              <w:t>39.963%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8" w:rsidRPr="00C64E48" w:rsidRDefault="00C64E48" w:rsidP="00C64E48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4E48">
              <w:rPr>
                <w:rFonts w:ascii="Calibri" w:eastAsia="Times New Roman" w:hAnsi="Calibri" w:cs="Times New Roman"/>
                <w:color w:val="000000"/>
              </w:rPr>
              <w:t>39.845%</w:t>
            </w:r>
          </w:p>
        </w:tc>
      </w:tr>
      <w:tr w:rsidR="00C64E48" w:rsidRPr="00C64E48" w:rsidTr="00C64E4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8" w:rsidRPr="00C64E48" w:rsidRDefault="00C64E48" w:rsidP="00C64E48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4E4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8" w:rsidRPr="00C64E48" w:rsidRDefault="00C64E48" w:rsidP="00C64E48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4E48">
              <w:rPr>
                <w:rFonts w:ascii="Calibri" w:eastAsia="Times New Roman" w:hAnsi="Calibri" w:cs="Times New Roman"/>
                <w:color w:val="000000"/>
              </w:rPr>
              <w:t>695327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8" w:rsidRPr="00C64E48" w:rsidRDefault="00C64E48" w:rsidP="00C64E48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4E48">
              <w:rPr>
                <w:rFonts w:ascii="Calibri" w:eastAsia="Times New Roman" w:hAnsi="Calibri" w:cs="Times New Roman"/>
                <w:color w:val="000000"/>
              </w:rPr>
              <w:t>684437.29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8" w:rsidRPr="00C64E48" w:rsidRDefault="00C64E48" w:rsidP="00C64E48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4E48">
              <w:rPr>
                <w:rFonts w:ascii="Calibri" w:eastAsia="Times New Roman" w:hAnsi="Calibri" w:cs="Times New Roman"/>
                <w:color w:val="000000"/>
              </w:rPr>
              <w:t>21.352%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8" w:rsidRPr="00C64E48" w:rsidRDefault="00C64E48" w:rsidP="00C64E48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4E48">
              <w:rPr>
                <w:rFonts w:ascii="Calibri" w:eastAsia="Times New Roman" w:hAnsi="Calibri" w:cs="Times New Roman"/>
                <w:color w:val="000000"/>
              </w:rPr>
              <w:t>21.068%</w:t>
            </w:r>
          </w:p>
        </w:tc>
      </w:tr>
      <w:tr w:rsidR="00C64E48" w:rsidRPr="00C64E48" w:rsidTr="00C64E4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8" w:rsidRPr="00C64E48" w:rsidRDefault="00C64E48" w:rsidP="00C64E48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4E4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8" w:rsidRPr="00C64E48" w:rsidRDefault="00C64E48" w:rsidP="00C64E48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4E48">
              <w:rPr>
                <w:rFonts w:ascii="Calibri" w:eastAsia="Times New Roman" w:hAnsi="Calibri" w:cs="Times New Roman"/>
                <w:color w:val="000000"/>
              </w:rPr>
              <w:t>557798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8" w:rsidRPr="00C64E48" w:rsidRDefault="00C64E48" w:rsidP="00C64E48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4E48">
              <w:rPr>
                <w:rFonts w:ascii="Calibri" w:eastAsia="Times New Roman" w:hAnsi="Calibri" w:cs="Times New Roman"/>
                <w:color w:val="000000"/>
              </w:rPr>
              <w:t>545535.21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8" w:rsidRPr="00C64E48" w:rsidRDefault="00C64E48" w:rsidP="00C64E48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4E48">
              <w:rPr>
                <w:rFonts w:ascii="Calibri" w:eastAsia="Times New Roman" w:hAnsi="Calibri" w:cs="Times New Roman"/>
                <w:color w:val="000000"/>
              </w:rPr>
              <w:t>17.128%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8" w:rsidRPr="00C64E48" w:rsidRDefault="00C64E48" w:rsidP="00C64E48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4E48">
              <w:rPr>
                <w:rFonts w:ascii="Calibri" w:eastAsia="Times New Roman" w:hAnsi="Calibri" w:cs="Times New Roman"/>
                <w:color w:val="000000"/>
              </w:rPr>
              <w:t>16.793%</w:t>
            </w:r>
          </w:p>
        </w:tc>
      </w:tr>
      <w:tr w:rsidR="00C64E48" w:rsidRPr="00C64E48" w:rsidTr="00C64E4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8" w:rsidRPr="00C64E48" w:rsidRDefault="00C64E48" w:rsidP="00C64E48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4E4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8" w:rsidRPr="00C64E48" w:rsidRDefault="00C64E48" w:rsidP="00C64E48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4E48">
              <w:rPr>
                <w:rFonts w:ascii="Calibri" w:eastAsia="Times New Roman" w:hAnsi="Calibri" w:cs="Times New Roman"/>
                <w:color w:val="000000"/>
              </w:rPr>
              <w:t>380769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8" w:rsidRPr="00C64E48" w:rsidRDefault="00C64E48" w:rsidP="00C64E48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4E48">
              <w:rPr>
                <w:rFonts w:ascii="Calibri" w:eastAsia="Times New Roman" w:hAnsi="Calibri" w:cs="Times New Roman"/>
                <w:color w:val="000000"/>
              </w:rPr>
              <w:t>373790.98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8" w:rsidRPr="00C64E48" w:rsidRDefault="00C64E48" w:rsidP="00C64E48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4E48">
              <w:rPr>
                <w:rFonts w:ascii="Calibri" w:eastAsia="Times New Roman" w:hAnsi="Calibri" w:cs="Times New Roman"/>
                <w:color w:val="000000"/>
              </w:rPr>
              <w:t>11.692%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8" w:rsidRPr="00C64E48" w:rsidRDefault="00C64E48" w:rsidP="00C64E48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4E48">
              <w:rPr>
                <w:rFonts w:ascii="Calibri" w:eastAsia="Times New Roman" w:hAnsi="Calibri" w:cs="Times New Roman"/>
                <w:color w:val="000000"/>
              </w:rPr>
              <w:t>11.506%</w:t>
            </w:r>
          </w:p>
        </w:tc>
      </w:tr>
      <w:tr w:rsidR="00C64E48" w:rsidRPr="00C64E48" w:rsidTr="00C64E4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8" w:rsidRPr="00C64E48" w:rsidRDefault="00C64E48" w:rsidP="00C64E48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4E4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8" w:rsidRPr="00C64E48" w:rsidRDefault="00C64E48" w:rsidP="00C64E48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4E48">
              <w:rPr>
                <w:rFonts w:ascii="Calibri" w:eastAsia="Times New Roman" w:hAnsi="Calibri" w:cs="Times New Roman"/>
                <w:color w:val="000000"/>
              </w:rPr>
              <w:t>189336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8" w:rsidRPr="00C64E48" w:rsidRDefault="00C64E48" w:rsidP="00C64E48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4E48">
              <w:rPr>
                <w:rFonts w:ascii="Calibri" w:eastAsia="Times New Roman" w:hAnsi="Calibri" w:cs="Times New Roman"/>
                <w:color w:val="000000"/>
              </w:rPr>
              <w:t>185569.5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8" w:rsidRPr="00C64E48" w:rsidRDefault="00C64E48" w:rsidP="00C64E48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4E48">
              <w:rPr>
                <w:rFonts w:ascii="Calibri" w:eastAsia="Times New Roman" w:hAnsi="Calibri" w:cs="Times New Roman"/>
                <w:color w:val="000000"/>
              </w:rPr>
              <w:t>5.814%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8" w:rsidRPr="00C64E48" w:rsidRDefault="00C64E48" w:rsidP="00C64E48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4E48">
              <w:rPr>
                <w:rFonts w:ascii="Calibri" w:eastAsia="Times New Roman" w:hAnsi="Calibri" w:cs="Times New Roman"/>
                <w:color w:val="000000"/>
              </w:rPr>
              <w:t>5.712%</w:t>
            </w:r>
          </w:p>
        </w:tc>
      </w:tr>
      <w:tr w:rsidR="00C64E48" w:rsidRPr="00C64E48" w:rsidTr="00C64E4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8" w:rsidRPr="00C64E48" w:rsidRDefault="00C64E48" w:rsidP="00C64E48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4E4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8" w:rsidRPr="00C64E48" w:rsidRDefault="00C64E48" w:rsidP="00C64E48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4E48">
              <w:rPr>
                <w:rFonts w:ascii="Calibri" w:eastAsia="Times New Roman" w:hAnsi="Calibri" w:cs="Times New Roman"/>
                <w:color w:val="000000"/>
              </w:rPr>
              <w:t>78508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8" w:rsidRPr="00C64E48" w:rsidRDefault="00C64E48" w:rsidP="00C64E48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4E48">
              <w:rPr>
                <w:rFonts w:ascii="Calibri" w:eastAsia="Times New Roman" w:hAnsi="Calibri" w:cs="Times New Roman"/>
                <w:color w:val="000000"/>
              </w:rPr>
              <w:t>71398.968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8" w:rsidRPr="00C64E48" w:rsidRDefault="00C64E48" w:rsidP="00C64E48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4E48">
              <w:rPr>
                <w:rFonts w:ascii="Calibri" w:eastAsia="Times New Roman" w:hAnsi="Calibri" w:cs="Times New Roman"/>
                <w:color w:val="000000"/>
              </w:rPr>
              <w:t>2.411%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8" w:rsidRPr="00C64E48" w:rsidRDefault="00C64E48" w:rsidP="00C64E48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4E48">
              <w:rPr>
                <w:rFonts w:ascii="Calibri" w:eastAsia="Times New Roman" w:hAnsi="Calibri" w:cs="Times New Roman"/>
                <w:color w:val="000000"/>
              </w:rPr>
              <w:t>2.198%</w:t>
            </w:r>
          </w:p>
        </w:tc>
      </w:tr>
      <w:tr w:rsidR="00C64E48" w:rsidRPr="00C64E48" w:rsidTr="00C64E4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8" w:rsidRPr="00C64E48" w:rsidRDefault="00C64E48" w:rsidP="00C64E48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4E4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8" w:rsidRPr="00C64E48" w:rsidRDefault="00C64E48" w:rsidP="00C64E48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4E48">
              <w:rPr>
                <w:rFonts w:ascii="Calibri" w:eastAsia="Times New Roman" w:hAnsi="Calibri" w:cs="Times New Roman"/>
                <w:color w:val="000000"/>
              </w:rPr>
              <w:t>52522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8" w:rsidRPr="00C64E48" w:rsidRDefault="00C64E48" w:rsidP="00C64E48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4E48">
              <w:rPr>
                <w:rFonts w:ascii="Calibri" w:eastAsia="Times New Roman" w:hAnsi="Calibri" w:cs="Times New Roman"/>
                <w:color w:val="000000"/>
              </w:rPr>
              <w:t>46845.438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8" w:rsidRPr="00C64E48" w:rsidRDefault="00C64E48" w:rsidP="00C64E48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4E48">
              <w:rPr>
                <w:rFonts w:ascii="Calibri" w:eastAsia="Times New Roman" w:hAnsi="Calibri" w:cs="Times New Roman"/>
                <w:color w:val="000000"/>
              </w:rPr>
              <w:t>1.613%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8" w:rsidRPr="00C64E48" w:rsidRDefault="00C64E48" w:rsidP="00C64E48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4E48">
              <w:rPr>
                <w:rFonts w:ascii="Calibri" w:eastAsia="Times New Roman" w:hAnsi="Calibri" w:cs="Times New Roman"/>
                <w:color w:val="000000"/>
              </w:rPr>
              <w:t>1.442%</w:t>
            </w:r>
          </w:p>
        </w:tc>
      </w:tr>
    </w:tbl>
    <w:p w:rsidR="002F2CDC" w:rsidRDefault="00D71C79" w:rsidP="002F2CD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="002F2CDC">
        <w:rPr>
          <w:rFonts w:ascii="Times New Roman" w:hAnsi="Times New Roman"/>
          <w:sz w:val="24"/>
        </w:rPr>
        <w:t>. Bedrooms</w:t>
      </w:r>
    </w:p>
    <w:p w:rsidR="002F2CDC" w:rsidRDefault="002F2CDC" w:rsidP="002F2CD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Bedroom counts are measured by numeric variable “</w:t>
      </w:r>
      <w:proofErr w:type="spellStart"/>
      <w:r>
        <w:rPr>
          <w:rFonts w:ascii="Times New Roman" w:hAnsi="Times New Roman"/>
          <w:sz w:val="24"/>
        </w:rPr>
        <w:t>bdrms</w:t>
      </w:r>
      <w:proofErr w:type="spellEnd"/>
      <w:r>
        <w:rPr>
          <w:rFonts w:ascii="Times New Roman" w:hAnsi="Times New Roman"/>
          <w:sz w:val="24"/>
        </w:rPr>
        <w:t>”, taking values of 0-4. Bedroom counts are top-coded at 4, thus 4 represents 4 or more bedrooms. Missing or suppr</w:t>
      </w:r>
      <w:r w:rsidR="00D71C79">
        <w:rPr>
          <w:rFonts w:ascii="Times New Roman" w:hAnsi="Times New Roman"/>
          <w:sz w:val="24"/>
        </w:rPr>
        <w:t>essed values are blank. Table 9</w:t>
      </w:r>
      <w:r>
        <w:rPr>
          <w:rFonts w:ascii="Times New Roman" w:hAnsi="Times New Roman"/>
          <w:sz w:val="24"/>
        </w:rPr>
        <w:t xml:space="preserve"> reports population and weighted sample frequencies.</w:t>
      </w:r>
    </w:p>
    <w:p w:rsidR="00B83A39" w:rsidRDefault="00D71C79" w:rsidP="002F2CD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Table 9</w:t>
      </w:r>
      <w:r w:rsidR="00B83A39">
        <w:rPr>
          <w:rFonts w:ascii="Times New Roman" w:hAnsi="Times New Roman"/>
          <w:sz w:val="24"/>
        </w:rPr>
        <w:t>: Bedroom Frequencies</w:t>
      </w:r>
    </w:p>
    <w:tbl>
      <w:tblPr>
        <w:tblW w:w="5860" w:type="dxa"/>
        <w:tblInd w:w="93" w:type="dxa"/>
        <w:tblLook w:val="04A0"/>
      </w:tblPr>
      <w:tblGrid>
        <w:gridCol w:w="1132"/>
        <w:gridCol w:w="1189"/>
        <w:gridCol w:w="1164"/>
        <w:gridCol w:w="1340"/>
        <w:gridCol w:w="1228"/>
      </w:tblGrid>
      <w:tr w:rsidR="000564BD" w:rsidRPr="000564BD" w:rsidTr="000564BD">
        <w:trPr>
          <w:trHeight w:val="9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0564BD" w:rsidRPr="000564BD" w:rsidRDefault="000564BD" w:rsidP="000564BD">
            <w:pPr>
              <w:spacing w:before="0"/>
              <w:jc w:val="right"/>
              <w:rPr>
                <w:rFonts w:ascii="Calibri" w:eastAsia="Times New Roman" w:hAnsi="Calibri" w:cs="Times New Roman"/>
                <w:color w:val="FFFFFF"/>
              </w:rPr>
            </w:pPr>
            <w:r w:rsidRPr="000564BD">
              <w:rPr>
                <w:rFonts w:ascii="Calibri" w:eastAsia="Times New Roman" w:hAnsi="Calibri" w:cs="Times New Roman"/>
                <w:color w:val="FFFFFF"/>
              </w:rPr>
              <w:t>Bedrooms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0564BD" w:rsidRPr="000564BD" w:rsidRDefault="000564BD" w:rsidP="000564BD">
            <w:pPr>
              <w:spacing w:before="0"/>
              <w:jc w:val="right"/>
              <w:rPr>
                <w:rFonts w:ascii="Calibri" w:eastAsia="Times New Roman" w:hAnsi="Calibri" w:cs="Times New Roman"/>
                <w:color w:val="FFFFFF"/>
              </w:rPr>
            </w:pPr>
            <w:r w:rsidRPr="000564BD">
              <w:rPr>
                <w:rFonts w:ascii="Calibri" w:eastAsia="Times New Roman" w:hAnsi="Calibri" w:cs="Times New Roman"/>
                <w:color w:val="FFFFFF"/>
              </w:rPr>
              <w:t>Population count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0564BD" w:rsidRPr="000564BD" w:rsidRDefault="000564BD" w:rsidP="000564BD">
            <w:pPr>
              <w:spacing w:before="0"/>
              <w:jc w:val="right"/>
              <w:rPr>
                <w:rFonts w:ascii="Calibri" w:eastAsia="Times New Roman" w:hAnsi="Calibri" w:cs="Times New Roman"/>
                <w:color w:val="FFFFFF"/>
              </w:rPr>
            </w:pPr>
            <w:r w:rsidRPr="000564BD">
              <w:rPr>
                <w:rFonts w:ascii="Calibri" w:eastAsia="Times New Roman" w:hAnsi="Calibri" w:cs="Times New Roman"/>
                <w:color w:val="FFFFFF"/>
              </w:rPr>
              <w:t>Weighted sample count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0564BD" w:rsidRPr="000564BD" w:rsidRDefault="000564BD" w:rsidP="000564BD">
            <w:pPr>
              <w:spacing w:before="0"/>
              <w:jc w:val="right"/>
              <w:rPr>
                <w:rFonts w:ascii="Calibri" w:eastAsia="Times New Roman" w:hAnsi="Calibri" w:cs="Times New Roman"/>
                <w:color w:val="FFFFFF"/>
              </w:rPr>
            </w:pPr>
            <w:r w:rsidRPr="000564BD">
              <w:rPr>
                <w:rFonts w:ascii="Calibri" w:eastAsia="Times New Roman" w:hAnsi="Calibri" w:cs="Times New Roman"/>
                <w:color w:val="FFFFFF"/>
              </w:rPr>
              <w:t>Population percentage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0564BD" w:rsidRPr="000564BD" w:rsidRDefault="000564BD" w:rsidP="000564BD">
            <w:pPr>
              <w:spacing w:before="0"/>
              <w:jc w:val="right"/>
              <w:rPr>
                <w:rFonts w:ascii="Calibri" w:eastAsia="Times New Roman" w:hAnsi="Calibri" w:cs="Times New Roman"/>
                <w:color w:val="FFFFFF"/>
              </w:rPr>
            </w:pPr>
            <w:r w:rsidRPr="000564BD">
              <w:rPr>
                <w:rFonts w:ascii="Calibri" w:eastAsia="Times New Roman" w:hAnsi="Calibri" w:cs="Times New Roman"/>
                <w:color w:val="FFFFFF"/>
              </w:rPr>
              <w:t>Weighted sample percentage</w:t>
            </w:r>
          </w:p>
        </w:tc>
      </w:tr>
      <w:tr w:rsidR="000564BD" w:rsidRPr="000564BD" w:rsidTr="000564BD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BD" w:rsidRPr="000564BD" w:rsidRDefault="000564BD" w:rsidP="000564BD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0564BD">
              <w:rPr>
                <w:rFonts w:ascii="Calibri" w:eastAsia="Times New Roman" w:hAnsi="Calibri" w:cs="Times New Roman"/>
                <w:color w:val="000000"/>
              </w:rPr>
              <w:t>Missing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BD" w:rsidRPr="000564BD" w:rsidRDefault="000564BD" w:rsidP="000564BD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4B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BD" w:rsidRPr="000564BD" w:rsidRDefault="000564BD" w:rsidP="000564BD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4BD">
              <w:rPr>
                <w:rFonts w:ascii="Calibri" w:eastAsia="Times New Roman" w:hAnsi="Calibri" w:cs="Times New Roman"/>
                <w:color w:val="000000"/>
              </w:rPr>
              <w:t>12006.616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BD" w:rsidRPr="000564BD" w:rsidRDefault="000564BD" w:rsidP="000564BD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4BD">
              <w:rPr>
                <w:rFonts w:ascii="Calibri" w:eastAsia="Times New Roman" w:hAnsi="Calibri" w:cs="Times New Roman"/>
                <w:color w:val="000000"/>
              </w:rPr>
              <w:t>0.000%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BD" w:rsidRPr="000564BD" w:rsidRDefault="000564BD" w:rsidP="000564BD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4BD">
              <w:rPr>
                <w:rFonts w:ascii="Calibri" w:eastAsia="Times New Roman" w:hAnsi="Calibri" w:cs="Times New Roman"/>
                <w:color w:val="000000"/>
              </w:rPr>
              <w:t>0.370%</w:t>
            </w:r>
          </w:p>
        </w:tc>
      </w:tr>
      <w:tr w:rsidR="000564BD" w:rsidRPr="000564BD" w:rsidTr="000564BD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BD" w:rsidRPr="000564BD" w:rsidRDefault="000564BD" w:rsidP="000564BD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4B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BD" w:rsidRPr="000564BD" w:rsidRDefault="000564BD" w:rsidP="000564BD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4BD">
              <w:rPr>
                <w:rFonts w:ascii="Calibri" w:eastAsia="Times New Roman" w:hAnsi="Calibri" w:cs="Times New Roman"/>
                <w:color w:val="000000"/>
              </w:rPr>
              <w:t>122733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BD" w:rsidRPr="000564BD" w:rsidRDefault="000564BD" w:rsidP="000564BD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4BD">
              <w:rPr>
                <w:rFonts w:ascii="Calibri" w:eastAsia="Times New Roman" w:hAnsi="Calibri" w:cs="Times New Roman"/>
                <w:color w:val="000000"/>
              </w:rPr>
              <w:t>121375.34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BD" w:rsidRPr="000564BD" w:rsidRDefault="000564BD" w:rsidP="000564BD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4BD">
              <w:rPr>
                <w:rFonts w:ascii="Calibri" w:eastAsia="Times New Roman" w:hAnsi="Calibri" w:cs="Times New Roman"/>
                <w:color w:val="000000"/>
              </w:rPr>
              <w:t>3.769%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BD" w:rsidRPr="000564BD" w:rsidRDefault="000564BD" w:rsidP="000564BD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4BD">
              <w:rPr>
                <w:rFonts w:ascii="Calibri" w:eastAsia="Times New Roman" w:hAnsi="Calibri" w:cs="Times New Roman"/>
                <w:color w:val="000000"/>
              </w:rPr>
              <w:t>3.736%</w:t>
            </w:r>
          </w:p>
        </w:tc>
      </w:tr>
      <w:tr w:rsidR="000564BD" w:rsidRPr="000564BD" w:rsidTr="000564BD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BD" w:rsidRPr="000564BD" w:rsidRDefault="000564BD" w:rsidP="000564BD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4B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BD" w:rsidRPr="000564BD" w:rsidRDefault="000564BD" w:rsidP="000564BD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4BD">
              <w:rPr>
                <w:rFonts w:ascii="Calibri" w:eastAsia="Times New Roman" w:hAnsi="Calibri" w:cs="Times New Roman"/>
                <w:color w:val="000000"/>
              </w:rPr>
              <w:t>906470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BD" w:rsidRPr="000564BD" w:rsidRDefault="000564BD" w:rsidP="000564BD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4BD">
              <w:rPr>
                <w:rFonts w:ascii="Calibri" w:eastAsia="Times New Roman" w:hAnsi="Calibri" w:cs="Times New Roman"/>
                <w:color w:val="000000"/>
              </w:rPr>
              <w:t>903562.71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BD" w:rsidRPr="000564BD" w:rsidRDefault="000564BD" w:rsidP="000564BD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4BD">
              <w:rPr>
                <w:rFonts w:ascii="Calibri" w:eastAsia="Times New Roman" w:hAnsi="Calibri" w:cs="Times New Roman"/>
                <w:color w:val="000000"/>
              </w:rPr>
              <w:t>27.835%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BD" w:rsidRPr="000564BD" w:rsidRDefault="000564BD" w:rsidP="000564BD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4BD">
              <w:rPr>
                <w:rFonts w:ascii="Calibri" w:eastAsia="Times New Roman" w:hAnsi="Calibri" w:cs="Times New Roman"/>
                <w:color w:val="000000"/>
              </w:rPr>
              <w:t>27.814%</w:t>
            </w:r>
          </w:p>
        </w:tc>
      </w:tr>
      <w:tr w:rsidR="000564BD" w:rsidRPr="000564BD" w:rsidTr="000564BD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BD" w:rsidRPr="000564BD" w:rsidRDefault="000564BD" w:rsidP="000564BD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4B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BD" w:rsidRPr="000564BD" w:rsidRDefault="000564BD" w:rsidP="000564BD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4BD">
              <w:rPr>
                <w:rFonts w:ascii="Calibri" w:eastAsia="Times New Roman" w:hAnsi="Calibri" w:cs="Times New Roman"/>
                <w:color w:val="000000"/>
              </w:rPr>
              <w:t>1109525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BD" w:rsidRPr="000564BD" w:rsidRDefault="000564BD" w:rsidP="000564BD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4BD">
              <w:rPr>
                <w:rFonts w:ascii="Calibri" w:eastAsia="Times New Roman" w:hAnsi="Calibri" w:cs="Times New Roman"/>
                <w:color w:val="000000"/>
              </w:rPr>
              <w:t>1099155.2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BD" w:rsidRPr="000564BD" w:rsidRDefault="000564BD" w:rsidP="000564BD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4BD">
              <w:rPr>
                <w:rFonts w:ascii="Calibri" w:eastAsia="Times New Roman" w:hAnsi="Calibri" w:cs="Times New Roman"/>
                <w:color w:val="000000"/>
              </w:rPr>
              <w:t>34.070%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BD" w:rsidRPr="000564BD" w:rsidRDefault="000564BD" w:rsidP="000564BD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4BD">
              <w:rPr>
                <w:rFonts w:ascii="Calibri" w:eastAsia="Times New Roman" w:hAnsi="Calibri" w:cs="Times New Roman"/>
                <w:color w:val="000000"/>
              </w:rPr>
              <w:t>33.834%</w:t>
            </w:r>
          </w:p>
        </w:tc>
      </w:tr>
      <w:tr w:rsidR="000564BD" w:rsidRPr="000564BD" w:rsidTr="000564BD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BD" w:rsidRPr="000564BD" w:rsidRDefault="000564BD" w:rsidP="000564BD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4B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BD" w:rsidRPr="000564BD" w:rsidRDefault="000564BD" w:rsidP="000564BD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4BD">
              <w:rPr>
                <w:rFonts w:ascii="Calibri" w:eastAsia="Times New Roman" w:hAnsi="Calibri" w:cs="Times New Roman"/>
                <w:color w:val="000000"/>
              </w:rPr>
              <w:t>898039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BD" w:rsidRPr="000564BD" w:rsidRDefault="000564BD" w:rsidP="000564BD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4BD">
              <w:rPr>
                <w:rFonts w:ascii="Calibri" w:eastAsia="Times New Roman" w:hAnsi="Calibri" w:cs="Times New Roman"/>
                <w:color w:val="000000"/>
              </w:rPr>
              <w:t>896330.1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BD" w:rsidRPr="000564BD" w:rsidRDefault="000564BD" w:rsidP="000564BD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4BD">
              <w:rPr>
                <w:rFonts w:ascii="Calibri" w:eastAsia="Times New Roman" w:hAnsi="Calibri" w:cs="Times New Roman"/>
                <w:color w:val="000000"/>
              </w:rPr>
              <w:t>27.576%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BD" w:rsidRPr="000564BD" w:rsidRDefault="000564BD" w:rsidP="000564BD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4BD">
              <w:rPr>
                <w:rFonts w:ascii="Calibri" w:eastAsia="Times New Roman" w:hAnsi="Calibri" w:cs="Times New Roman"/>
                <w:color w:val="000000"/>
              </w:rPr>
              <w:t>27.591%</w:t>
            </w:r>
          </w:p>
        </w:tc>
      </w:tr>
      <w:tr w:rsidR="000564BD" w:rsidRPr="000564BD" w:rsidTr="000564BD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BD" w:rsidRPr="000564BD" w:rsidRDefault="000564BD" w:rsidP="000564BD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4B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BD" w:rsidRPr="000564BD" w:rsidRDefault="000564BD" w:rsidP="000564BD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4BD">
              <w:rPr>
                <w:rFonts w:ascii="Calibri" w:eastAsia="Times New Roman" w:hAnsi="Calibri" w:cs="Times New Roman"/>
                <w:color w:val="000000"/>
              </w:rPr>
              <w:t>219799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BD" w:rsidRPr="000564BD" w:rsidRDefault="000564BD" w:rsidP="000564BD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4BD">
              <w:rPr>
                <w:rFonts w:ascii="Calibri" w:eastAsia="Times New Roman" w:hAnsi="Calibri" w:cs="Times New Roman"/>
                <w:color w:val="000000"/>
              </w:rPr>
              <w:t>216217.08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BD" w:rsidRPr="000564BD" w:rsidRDefault="000564BD" w:rsidP="000564BD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4BD">
              <w:rPr>
                <w:rFonts w:ascii="Calibri" w:eastAsia="Times New Roman" w:hAnsi="Calibri" w:cs="Times New Roman"/>
                <w:color w:val="000000"/>
              </w:rPr>
              <w:t>6.749%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BD" w:rsidRPr="000564BD" w:rsidRDefault="000564BD" w:rsidP="000564BD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4BD">
              <w:rPr>
                <w:rFonts w:ascii="Calibri" w:eastAsia="Times New Roman" w:hAnsi="Calibri" w:cs="Times New Roman"/>
                <w:color w:val="000000"/>
              </w:rPr>
              <w:t>6.656%</w:t>
            </w:r>
          </w:p>
        </w:tc>
      </w:tr>
    </w:tbl>
    <w:p w:rsidR="007D24ED" w:rsidRDefault="00D71C79" w:rsidP="00085E8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7D24ED">
        <w:rPr>
          <w:rFonts w:ascii="Times New Roman" w:hAnsi="Times New Roman"/>
          <w:sz w:val="24"/>
        </w:rPr>
        <w:t>.</w:t>
      </w:r>
      <w:r w:rsidR="001E0D45">
        <w:rPr>
          <w:rFonts w:ascii="Times New Roman" w:hAnsi="Times New Roman"/>
          <w:sz w:val="24"/>
        </w:rPr>
        <w:t xml:space="preserve"> Race/</w:t>
      </w:r>
      <w:r w:rsidR="005259EE">
        <w:rPr>
          <w:rFonts w:ascii="Times New Roman" w:hAnsi="Times New Roman"/>
          <w:sz w:val="24"/>
        </w:rPr>
        <w:t>Ethnicity</w:t>
      </w:r>
      <w:r w:rsidR="00680170">
        <w:rPr>
          <w:rFonts w:ascii="Times New Roman" w:hAnsi="Times New Roman"/>
          <w:sz w:val="24"/>
        </w:rPr>
        <w:t xml:space="preserve"> </w:t>
      </w:r>
      <w:r w:rsidR="000564BD">
        <w:rPr>
          <w:rFonts w:ascii="Times New Roman" w:hAnsi="Times New Roman"/>
          <w:sz w:val="24"/>
        </w:rPr>
        <w:t xml:space="preserve">of </w:t>
      </w:r>
      <w:r w:rsidR="00680170">
        <w:rPr>
          <w:rFonts w:ascii="Times New Roman" w:hAnsi="Times New Roman"/>
          <w:sz w:val="24"/>
        </w:rPr>
        <w:t>Household Head</w:t>
      </w:r>
    </w:p>
    <w:p w:rsidR="001E0D45" w:rsidRDefault="001E0D45" w:rsidP="00085E8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Race and </w:t>
      </w:r>
      <w:r w:rsidR="005259EE">
        <w:rPr>
          <w:rFonts w:ascii="Times New Roman" w:hAnsi="Times New Roman"/>
          <w:sz w:val="24"/>
        </w:rPr>
        <w:t xml:space="preserve">ethnicity </w:t>
      </w:r>
      <w:r w:rsidR="007C7FC8">
        <w:rPr>
          <w:rFonts w:ascii="Times New Roman" w:hAnsi="Times New Roman"/>
          <w:sz w:val="24"/>
        </w:rPr>
        <w:t>of the household head is</w:t>
      </w:r>
      <w:r>
        <w:rPr>
          <w:rFonts w:ascii="Times New Roman" w:hAnsi="Times New Roman"/>
          <w:sz w:val="24"/>
        </w:rPr>
        <w:t xml:space="preserve"> mea</w:t>
      </w:r>
      <w:r w:rsidR="005259EE">
        <w:rPr>
          <w:rFonts w:ascii="Times New Roman" w:hAnsi="Times New Roman"/>
          <w:sz w:val="24"/>
        </w:rPr>
        <w:t>sured by character variable “</w:t>
      </w:r>
      <w:proofErr w:type="spellStart"/>
      <w:r w:rsidR="005259EE">
        <w:rPr>
          <w:rFonts w:ascii="Times New Roman" w:hAnsi="Times New Roman"/>
          <w:sz w:val="24"/>
        </w:rPr>
        <w:t>race_eth</w:t>
      </w:r>
      <w:proofErr w:type="spellEnd"/>
      <w:r>
        <w:rPr>
          <w:rFonts w:ascii="Times New Roman" w:hAnsi="Times New Roman"/>
          <w:sz w:val="24"/>
        </w:rPr>
        <w:t>”. Race and national origin are reported in four categories</w:t>
      </w:r>
      <w:r w:rsidR="005259EE">
        <w:rPr>
          <w:rFonts w:ascii="Times New Roman" w:hAnsi="Times New Roman"/>
          <w:sz w:val="24"/>
        </w:rPr>
        <w:t xml:space="preserve">. For Hispanics of any race, </w:t>
      </w:r>
      <w:proofErr w:type="spellStart"/>
      <w:r w:rsidR="005259EE">
        <w:rPr>
          <w:rFonts w:ascii="Times New Roman" w:hAnsi="Times New Roman"/>
          <w:sz w:val="24"/>
        </w:rPr>
        <w:t>race_ethn</w:t>
      </w:r>
      <w:proofErr w:type="spellEnd"/>
      <w:r>
        <w:rPr>
          <w:rFonts w:ascii="Times New Roman" w:hAnsi="Times New Roman"/>
          <w:sz w:val="24"/>
        </w:rPr>
        <w:t xml:space="preserve"> equals “Hispanic”.</w:t>
      </w:r>
      <w:r w:rsidR="005259EE">
        <w:rPr>
          <w:rFonts w:ascii="Times New Roman" w:hAnsi="Times New Roman"/>
          <w:sz w:val="24"/>
        </w:rPr>
        <w:t xml:space="preserve"> For non-Hispanic whites, </w:t>
      </w:r>
      <w:proofErr w:type="spellStart"/>
      <w:r w:rsidR="005259EE">
        <w:rPr>
          <w:rFonts w:ascii="Times New Roman" w:hAnsi="Times New Roman"/>
          <w:sz w:val="24"/>
        </w:rPr>
        <w:t>race_eth</w:t>
      </w:r>
      <w:proofErr w:type="spellEnd"/>
      <w:r>
        <w:rPr>
          <w:rFonts w:ascii="Times New Roman" w:hAnsi="Times New Roman"/>
          <w:sz w:val="24"/>
        </w:rPr>
        <w:t xml:space="preserve"> equals “Whit</w:t>
      </w:r>
      <w:r w:rsidR="005259EE">
        <w:rPr>
          <w:rFonts w:ascii="Times New Roman" w:hAnsi="Times New Roman"/>
          <w:sz w:val="24"/>
        </w:rPr>
        <w:t xml:space="preserve">e”. For non-Hispanic blacks, </w:t>
      </w:r>
      <w:proofErr w:type="spellStart"/>
      <w:r w:rsidR="005259EE">
        <w:rPr>
          <w:rFonts w:ascii="Times New Roman" w:hAnsi="Times New Roman"/>
          <w:sz w:val="24"/>
        </w:rPr>
        <w:t>race_eth</w:t>
      </w:r>
      <w:proofErr w:type="spellEnd"/>
      <w:r>
        <w:rPr>
          <w:rFonts w:ascii="Times New Roman" w:hAnsi="Times New Roman"/>
          <w:sz w:val="24"/>
        </w:rPr>
        <w:t xml:space="preserve"> equals “Blac</w:t>
      </w:r>
      <w:r w:rsidR="005259EE">
        <w:rPr>
          <w:rFonts w:ascii="Times New Roman" w:hAnsi="Times New Roman"/>
          <w:sz w:val="24"/>
        </w:rPr>
        <w:t xml:space="preserve">k”. For other non-Hispanics, </w:t>
      </w:r>
      <w:proofErr w:type="spellStart"/>
      <w:r w:rsidR="005259EE">
        <w:rPr>
          <w:rFonts w:ascii="Times New Roman" w:hAnsi="Times New Roman"/>
          <w:sz w:val="24"/>
        </w:rPr>
        <w:t>race_eth</w:t>
      </w:r>
      <w:proofErr w:type="spellEnd"/>
      <w:r>
        <w:rPr>
          <w:rFonts w:ascii="Times New Roman" w:hAnsi="Times New Roman"/>
          <w:sz w:val="24"/>
        </w:rPr>
        <w:t xml:space="preserve"> equals “Other”. Missing or suppressed values are blank.</w:t>
      </w:r>
      <w:r w:rsidR="00D71C79">
        <w:rPr>
          <w:rFonts w:ascii="Times New Roman" w:hAnsi="Times New Roman"/>
          <w:sz w:val="24"/>
        </w:rPr>
        <w:t xml:space="preserve"> Table 10</w:t>
      </w:r>
      <w:r w:rsidR="00A2261B">
        <w:rPr>
          <w:rFonts w:ascii="Times New Roman" w:hAnsi="Times New Roman"/>
          <w:sz w:val="24"/>
        </w:rPr>
        <w:t xml:space="preserve"> reports population and weighted sample frequencies.</w:t>
      </w:r>
    </w:p>
    <w:p w:rsidR="00D97849" w:rsidRDefault="00D97849" w:rsidP="00085E85">
      <w:pPr>
        <w:rPr>
          <w:rFonts w:ascii="Times New Roman" w:hAnsi="Times New Roman"/>
          <w:sz w:val="24"/>
        </w:rPr>
      </w:pPr>
    </w:p>
    <w:p w:rsidR="00D97849" w:rsidRDefault="00D97849" w:rsidP="00085E85">
      <w:pPr>
        <w:rPr>
          <w:rFonts w:ascii="Times New Roman" w:hAnsi="Times New Roman"/>
          <w:sz w:val="24"/>
        </w:rPr>
      </w:pPr>
    </w:p>
    <w:p w:rsidR="00196214" w:rsidRDefault="00196214" w:rsidP="00085E85">
      <w:pPr>
        <w:rPr>
          <w:rFonts w:ascii="Times New Roman" w:hAnsi="Times New Roman"/>
          <w:sz w:val="24"/>
        </w:rPr>
      </w:pPr>
    </w:p>
    <w:p w:rsidR="00CF7EED" w:rsidRDefault="00CF7EED" w:rsidP="00085E85">
      <w:pPr>
        <w:rPr>
          <w:rFonts w:ascii="Times New Roman" w:hAnsi="Times New Roman"/>
          <w:sz w:val="24"/>
        </w:rPr>
      </w:pPr>
    </w:p>
    <w:p w:rsidR="00A2261B" w:rsidRDefault="00D71C79" w:rsidP="00085E8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Table 10</w:t>
      </w:r>
      <w:r w:rsidR="00A2261B">
        <w:rPr>
          <w:rFonts w:ascii="Times New Roman" w:hAnsi="Times New Roman"/>
          <w:sz w:val="24"/>
        </w:rPr>
        <w:t xml:space="preserve"> Race/</w:t>
      </w:r>
      <w:r w:rsidR="006773ED">
        <w:rPr>
          <w:rFonts w:ascii="Times New Roman" w:hAnsi="Times New Roman"/>
          <w:sz w:val="24"/>
        </w:rPr>
        <w:t>Ethnicity</w:t>
      </w:r>
      <w:r w:rsidR="00A2261B">
        <w:rPr>
          <w:rFonts w:ascii="Times New Roman" w:hAnsi="Times New Roman"/>
          <w:sz w:val="24"/>
        </w:rPr>
        <w:t xml:space="preserve"> Frequencies</w:t>
      </w:r>
    </w:p>
    <w:tbl>
      <w:tblPr>
        <w:tblW w:w="6380" w:type="dxa"/>
        <w:tblInd w:w="93" w:type="dxa"/>
        <w:tblLook w:val="04A0"/>
      </w:tblPr>
      <w:tblGrid>
        <w:gridCol w:w="1508"/>
        <w:gridCol w:w="1200"/>
        <w:gridCol w:w="1164"/>
        <w:gridCol w:w="1240"/>
        <w:gridCol w:w="1380"/>
      </w:tblGrid>
      <w:tr w:rsidR="00C118AA" w:rsidRPr="00C118AA" w:rsidTr="00467185">
        <w:trPr>
          <w:trHeight w:val="9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C118AA" w:rsidRPr="00C118AA" w:rsidRDefault="00C118AA" w:rsidP="00C118AA">
            <w:pPr>
              <w:spacing w:before="0"/>
              <w:rPr>
                <w:rFonts w:ascii="Calibri" w:eastAsia="Times New Roman" w:hAnsi="Calibri" w:cs="Times New Roman"/>
                <w:color w:val="FFFFFF"/>
              </w:rPr>
            </w:pPr>
            <w:r w:rsidRPr="00C118AA">
              <w:rPr>
                <w:rFonts w:ascii="Calibri" w:eastAsia="Times New Roman" w:hAnsi="Calibri" w:cs="Times New Roman"/>
                <w:color w:val="FFFFFF"/>
              </w:rPr>
              <w:t>Race/Ethnicity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C118AA" w:rsidRPr="00C118AA" w:rsidRDefault="00C118AA" w:rsidP="00C118AA">
            <w:pPr>
              <w:spacing w:before="0"/>
              <w:jc w:val="right"/>
              <w:rPr>
                <w:rFonts w:ascii="Calibri" w:eastAsia="Times New Roman" w:hAnsi="Calibri" w:cs="Times New Roman"/>
                <w:color w:val="FFFFFF"/>
              </w:rPr>
            </w:pPr>
            <w:r w:rsidRPr="00C118AA">
              <w:rPr>
                <w:rFonts w:ascii="Calibri" w:eastAsia="Times New Roman" w:hAnsi="Calibri" w:cs="Times New Roman"/>
                <w:color w:val="FFFFFF"/>
              </w:rPr>
              <w:t>Population count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C118AA" w:rsidRPr="00C118AA" w:rsidRDefault="00C118AA" w:rsidP="00C118AA">
            <w:pPr>
              <w:spacing w:before="0"/>
              <w:jc w:val="right"/>
              <w:rPr>
                <w:rFonts w:ascii="Calibri" w:eastAsia="Times New Roman" w:hAnsi="Calibri" w:cs="Times New Roman"/>
                <w:color w:val="FFFFFF"/>
              </w:rPr>
            </w:pPr>
            <w:r w:rsidRPr="00C118AA">
              <w:rPr>
                <w:rFonts w:ascii="Calibri" w:eastAsia="Times New Roman" w:hAnsi="Calibri" w:cs="Times New Roman"/>
                <w:color w:val="FFFFFF"/>
              </w:rPr>
              <w:t>Weighted sample count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C118AA" w:rsidRPr="00C118AA" w:rsidRDefault="00C118AA" w:rsidP="00C118AA">
            <w:pPr>
              <w:spacing w:before="0"/>
              <w:jc w:val="right"/>
              <w:rPr>
                <w:rFonts w:ascii="Calibri" w:eastAsia="Times New Roman" w:hAnsi="Calibri" w:cs="Times New Roman"/>
                <w:color w:val="FFFFFF"/>
              </w:rPr>
            </w:pPr>
            <w:r w:rsidRPr="00C118AA">
              <w:rPr>
                <w:rFonts w:ascii="Calibri" w:eastAsia="Times New Roman" w:hAnsi="Calibri" w:cs="Times New Roman"/>
                <w:color w:val="FFFFFF"/>
              </w:rPr>
              <w:t>Population percentage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C118AA" w:rsidRPr="00C118AA" w:rsidRDefault="00C118AA" w:rsidP="00C118AA">
            <w:pPr>
              <w:spacing w:before="0"/>
              <w:jc w:val="right"/>
              <w:rPr>
                <w:rFonts w:ascii="Calibri" w:eastAsia="Times New Roman" w:hAnsi="Calibri" w:cs="Times New Roman"/>
                <w:color w:val="FFFFFF"/>
              </w:rPr>
            </w:pPr>
            <w:r w:rsidRPr="00C118AA">
              <w:rPr>
                <w:rFonts w:ascii="Calibri" w:eastAsia="Times New Roman" w:hAnsi="Calibri" w:cs="Times New Roman"/>
                <w:color w:val="FFFFFF"/>
              </w:rPr>
              <w:t>Weighted sample percentage</w:t>
            </w:r>
          </w:p>
        </w:tc>
      </w:tr>
      <w:tr w:rsidR="00C118AA" w:rsidRPr="00C118AA" w:rsidTr="00C118AA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AA" w:rsidRPr="00C118AA" w:rsidRDefault="00D91E24" w:rsidP="00C118AA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Missing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AA" w:rsidRPr="00C118AA" w:rsidRDefault="00C118AA" w:rsidP="00C118AA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18AA">
              <w:rPr>
                <w:rFonts w:ascii="Calibri" w:eastAsia="Times New Roman" w:hAnsi="Calibri" w:cs="Times New Roman"/>
                <w:color w:val="000000"/>
              </w:rPr>
              <w:t>9500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AA" w:rsidRPr="00C118AA" w:rsidRDefault="00C118AA" w:rsidP="00C118AA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18AA">
              <w:rPr>
                <w:rFonts w:ascii="Calibri" w:eastAsia="Times New Roman" w:hAnsi="Calibri" w:cs="Times New Roman"/>
                <w:color w:val="000000"/>
              </w:rPr>
              <w:t>105046.72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AA" w:rsidRPr="00C118AA" w:rsidRDefault="00C118AA" w:rsidP="00C118AA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18AA">
              <w:rPr>
                <w:rFonts w:ascii="Calibri" w:eastAsia="Times New Roman" w:hAnsi="Calibri" w:cs="Times New Roman"/>
                <w:color w:val="000000"/>
              </w:rPr>
              <w:t>0.292%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AA" w:rsidRPr="00C118AA" w:rsidRDefault="00C118AA" w:rsidP="00C118AA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18AA">
              <w:rPr>
                <w:rFonts w:ascii="Calibri" w:eastAsia="Times New Roman" w:hAnsi="Calibri" w:cs="Times New Roman"/>
                <w:color w:val="000000"/>
              </w:rPr>
              <w:t>3.234%</w:t>
            </w:r>
          </w:p>
        </w:tc>
      </w:tr>
      <w:tr w:rsidR="00C118AA" w:rsidRPr="00C118AA" w:rsidTr="00C118AA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AA" w:rsidRPr="00C118AA" w:rsidRDefault="00C118AA" w:rsidP="00C118AA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C118AA">
              <w:rPr>
                <w:rFonts w:ascii="Calibri" w:eastAsia="Times New Roman" w:hAnsi="Calibri" w:cs="Times New Roman"/>
                <w:color w:val="000000"/>
              </w:rPr>
              <w:t>Black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AA" w:rsidRPr="00C118AA" w:rsidRDefault="00C118AA" w:rsidP="00C118AA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18AA">
              <w:rPr>
                <w:rFonts w:ascii="Calibri" w:eastAsia="Times New Roman" w:hAnsi="Calibri" w:cs="Times New Roman"/>
                <w:color w:val="000000"/>
              </w:rPr>
              <w:t>1454915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AA" w:rsidRPr="00C118AA" w:rsidRDefault="00C118AA" w:rsidP="00C118AA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18AA">
              <w:rPr>
                <w:rFonts w:ascii="Calibri" w:eastAsia="Times New Roman" w:hAnsi="Calibri" w:cs="Times New Roman"/>
                <w:color w:val="000000"/>
              </w:rPr>
              <w:t>1420315.6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AA" w:rsidRPr="00C118AA" w:rsidRDefault="00C118AA" w:rsidP="00C118AA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18AA">
              <w:rPr>
                <w:rFonts w:ascii="Calibri" w:eastAsia="Times New Roman" w:hAnsi="Calibri" w:cs="Times New Roman"/>
                <w:color w:val="000000"/>
              </w:rPr>
              <w:t>44.676%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AA" w:rsidRPr="00C118AA" w:rsidRDefault="00C118AA" w:rsidP="00C118AA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18AA">
              <w:rPr>
                <w:rFonts w:ascii="Calibri" w:eastAsia="Times New Roman" w:hAnsi="Calibri" w:cs="Times New Roman"/>
                <w:color w:val="000000"/>
              </w:rPr>
              <w:t>43.720%</w:t>
            </w:r>
          </w:p>
        </w:tc>
      </w:tr>
      <w:tr w:rsidR="00C118AA" w:rsidRPr="00C118AA" w:rsidTr="00C118AA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AA" w:rsidRPr="00C118AA" w:rsidRDefault="00C118AA" w:rsidP="00C118AA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C118AA">
              <w:rPr>
                <w:rFonts w:ascii="Calibri" w:eastAsia="Times New Roman" w:hAnsi="Calibri" w:cs="Times New Roman"/>
                <w:color w:val="000000"/>
              </w:rPr>
              <w:t>Hispanic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AA" w:rsidRPr="00C118AA" w:rsidRDefault="00C118AA" w:rsidP="00C118AA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18AA">
              <w:rPr>
                <w:rFonts w:ascii="Calibri" w:eastAsia="Times New Roman" w:hAnsi="Calibri" w:cs="Times New Roman"/>
                <w:color w:val="000000"/>
              </w:rPr>
              <w:t>591875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AA" w:rsidRPr="00C118AA" w:rsidRDefault="00C118AA" w:rsidP="00C118AA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18AA">
              <w:rPr>
                <w:rFonts w:ascii="Calibri" w:eastAsia="Times New Roman" w:hAnsi="Calibri" w:cs="Times New Roman"/>
                <w:color w:val="000000"/>
              </w:rPr>
              <w:t>567659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AA" w:rsidRPr="00C118AA" w:rsidRDefault="00C118AA" w:rsidP="00C118AA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18AA">
              <w:rPr>
                <w:rFonts w:ascii="Calibri" w:eastAsia="Times New Roman" w:hAnsi="Calibri" w:cs="Times New Roman"/>
                <w:color w:val="000000"/>
              </w:rPr>
              <w:t>18.175%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AA" w:rsidRPr="00C118AA" w:rsidRDefault="00C118AA" w:rsidP="00C118AA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18AA">
              <w:rPr>
                <w:rFonts w:ascii="Calibri" w:eastAsia="Times New Roman" w:hAnsi="Calibri" w:cs="Times New Roman"/>
                <w:color w:val="000000"/>
              </w:rPr>
              <w:t>17.474%</w:t>
            </w:r>
          </w:p>
        </w:tc>
      </w:tr>
      <w:tr w:rsidR="00C118AA" w:rsidRPr="00C118AA" w:rsidTr="00C118AA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AA" w:rsidRPr="00C118AA" w:rsidRDefault="00C118AA" w:rsidP="00C118AA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C118AA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AA" w:rsidRPr="00C118AA" w:rsidRDefault="00C118AA" w:rsidP="00C118AA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18AA">
              <w:rPr>
                <w:rFonts w:ascii="Calibri" w:eastAsia="Times New Roman" w:hAnsi="Calibri" w:cs="Times New Roman"/>
                <w:color w:val="000000"/>
              </w:rPr>
              <w:t>93313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AA" w:rsidRPr="00C118AA" w:rsidRDefault="00C118AA" w:rsidP="00C118AA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18AA">
              <w:rPr>
                <w:rFonts w:ascii="Calibri" w:eastAsia="Times New Roman" w:hAnsi="Calibri" w:cs="Times New Roman"/>
                <w:color w:val="000000"/>
              </w:rPr>
              <w:t>78854.974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AA" w:rsidRPr="00C118AA" w:rsidRDefault="00C118AA" w:rsidP="00C118AA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18AA">
              <w:rPr>
                <w:rFonts w:ascii="Calibri" w:eastAsia="Times New Roman" w:hAnsi="Calibri" w:cs="Times New Roman"/>
                <w:color w:val="000000"/>
              </w:rPr>
              <w:t>2.865%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AA" w:rsidRPr="00C118AA" w:rsidRDefault="00C118AA" w:rsidP="00C118AA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18AA">
              <w:rPr>
                <w:rFonts w:ascii="Calibri" w:eastAsia="Times New Roman" w:hAnsi="Calibri" w:cs="Times New Roman"/>
                <w:color w:val="000000"/>
              </w:rPr>
              <w:t>2.427%</w:t>
            </w:r>
          </w:p>
        </w:tc>
      </w:tr>
      <w:tr w:rsidR="00C118AA" w:rsidRPr="00C118AA" w:rsidTr="00C118AA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AA" w:rsidRPr="00C118AA" w:rsidRDefault="00C118AA" w:rsidP="00C118AA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C118AA">
              <w:rPr>
                <w:rFonts w:ascii="Calibri" w:eastAsia="Times New Roman" w:hAnsi="Calibri" w:cs="Times New Roman"/>
                <w:color w:val="000000"/>
              </w:rPr>
              <w:t>White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AA" w:rsidRPr="00C118AA" w:rsidRDefault="00C118AA" w:rsidP="00C118AA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18AA">
              <w:rPr>
                <w:rFonts w:ascii="Calibri" w:eastAsia="Times New Roman" w:hAnsi="Calibri" w:cs="Times New Roman"/>
                <w:color w:val="000000"/>
              </w:rPr>
              <w:t>1106965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AA" w:rsidRPr="00C118AA" w:rsidRDefault="00C118AA" w:rsidP="00C118AA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18AA">
              <w:rPr>
                <w:rFonts w:ascii="Calibri" w:eastAsia="Times New Roman" w:hAnsi="Calibri" w:cs="Times New Roman"/>
                <w:color w:val="000000"/>
              </w:rPr>
              <w:t>1076770.7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AA" w:rsidRPr="00C118AA" w:rsidRDefault="00C118AA" w:rsidP="00C118AA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18AA">
              <w:rPr>
                <w:rFonts w:ascii="Calibri" w:eastAsia="Times New Roman" w:hAnsi="Calibri" w:cs="Times New Roman"/>
                <w:color w:val="000000"/>
              </w:rPr>
              <w:t>33.992%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8AA" w:rsidRPr="00C118AA" w:rsidRDefault="00C118AA" w:rsidP="00C118AA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18AA">
              <w:rPr>
                <w:rFonts w:ascii="Calibri" w:eastAsia="Times New Roman" w:hAnsi="Calibri" w:cs="Times New Roman"/>
                <w:color w:val="000000"/>
              </w:rPr>
              <w:t>33.145%</w:t>
            </w:r>
          </w:p>
        </w:tc>
      </w:tr>
    </w:tbl>
    <w:p w:rsidR="00D97849" w:rsidRDefault="00D71C79" w:rsidP="00D978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 w:rsidR="00D97849">
        <w:rPr>
          <w:rFonts w:ascii="Times New Roman" w:hAnsi="Times New Roman"/>
          <w:sz w:val="24"/>
        </w:rPr>
        <w:t>. Sex</w:t>
      </w:r>
      <w:r w:rsidR="00680170">
        <w:rPr>
          <w:rFonts w:ascii="Times New Roman" w:hAnsi="Times New Roman"/>
          <w:sz w:val="24"/>
        </w:rPr>
        <w:t xml:space="preserve"> of Household Head</w:t>
      </w:r>
    </w:p>
    <w:p w:rsidR="00692D83" w:rsidRDefault="00D97849" w:rsidP="00D978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Sex of household head is measured by character variable “sex”.</w:t>
      </w:r>
      <w:r w:rsidR="00692D83">
        <w:rPr>
          <w:rFonts w:ascii="Times New Roman" w:hAnsi="Times New Roman"/>
          <w:sz w:val="24"/>
        </w:rPr>
        <w:t xml:space="preserve"> Males are </w:t>
      </w:r>
      <w:r w:rsidR="00680170">
        <w:rPr>
          <w:rFonts w:ascii="Times New Roman" w:hAnsi="Times New Roman"/>
          <w:sz w:val="24"/>
        </w:rPr>
        <w:t xml:space="preserve">coded as “M”, and females are coded as “F”. Missing or suppressed values are blank. </w:t>
      </w:r>
      <w:r w:rsidR="00D71C79">
        <w:rPr>
          <w:rFonts w:ascii="Times New Roman" w:hAnsi="Times New Roman"/>
          <w:sz w:val="24"/>
        </w:rPr>
        <w:t>Table 11</w:t>
      </w:r>
      <w:r w:rsidR="005172D4">
        <w:rPr>
          <w:rFonts w:ascii="Times New Roman" w:hAnsi="Times New Roman"/>
          <w:sz w:val="24"/>
        </w:rPr>
        <w:t xml:space="preserve"> reports population and weighted sample frequencies.</w:t>
      </w:r>
    </w:p>
    <w:p w:rsidR="00692D83" w:rsidRDefault="00BF7A9B" w:rsidP="00D978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Table 11</w:t>
      </w:r>
      <w:r w:rsidR="00680170">
        <w:rPr>
          <w:rFonts w:ascii="Times New Roman" w:hAnsi="Times New Roman"/>
          <w:sz w:val="24"/>
        </w:rPr>
        <w:t>: Sex of Household Head Frequencies</w:t>
      </w:r>
    </w:p>
    <w:tbl>
      <w:tblPr>
        <w:tblW w:w="5860" w:type="dxa"/>
        <w:tblInd w:w="93" w:type="dxa"/>
        <w:tblLook w:val="04A0"/>
      </w:tblPr>
      <w:tblGrid>
        <w:gridCol w:w="940"/>
        <w:gridCol w:w="1189"/>
        <w:gridCol w:w="1164"/>
        <w:gridCol w:w="1340"/>
        <w:gridCol w:w="1360"/>
      </w:tblGrid>
      <w:tr w:rsidR="00D91E24" w:rsidRPr="00D91E24" w:rsidTr="00D91E24">
        <w:trPr>
          <w:trHeight w:val="9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91E24" w:rsidRPr="00D91E24" w:rsidRDefault="00D91E24" w:rsidP="00D91E24">
            <w:pPr>
              <w:spacing w:before="0"/>
              <w:rPr>
                <w:rFonts w:ascii="Calibri" w:eastAsia="Times New Roman" w:hAnsi="Calibri" w:cs="Times New Roman"/>
                <w:color w:val="FFFFFF"/>
              </w:rPr>
            </w:pPr>
            <w:r w:rsidRPr="00D91E24">
              <w:rPr>
                <w:rFonts w:ascii="Calibri" w:eastAsia="Times New Roman" w:hAnsi="Calibri" w:cs="Times New Roman"/>
                <w:color w:val="FFFFFF"/>
              </w:rPr>
              <w:t>Sex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D91E24" w:rsidRPr="00D91E24" w:rsidRDefault="00D91E24" w:rsidP="00D91E24">
            <w:pPr>
              <w:spacing w:before="0"/>
              <w:jc w:val="right"/>
              <w:rPr>
                <w:rFonts w:ascii="Calibri" w:eastAsia="Times New Roman" w:hAnsi="Calibri" w:cs="Times New Roman"/>
                <w:color w:val="FFFFFF"/>
              </w:rPr>
            </w:pPr>
            <w:r w:rsidRPr="00D91E24">
              <w:rPr>
                <w:rFonts w:ascii="Calibri" w:eastAsia="Times New Roman" w:hAnsi="Calibri" w:cs="Times New Roman"/>
                <w:color w:val="FFFFFF"/>
              </w:rPr>
              <w:t>Population count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D91E24" w:rsidRPr="00D91E24" w:rsidRDefault="00D91E24" w:rsidP="00D91E24">
            <w:pPr>
              <w:spacing w:before="0"/>
              <w:jc w:val="right"/>
              <w:rPr>
                <w:rFonts w:ascii="Calibri" w:eastAsia="Times New Roman" w:hAnsi="Calibri" w:cs="Times New Roman"/>
                <w:color w:val="FFFFFF"/>
              </w:rPr>
            </w:pPr>
            <w:r w:rsidRPr="00D91E24">
              <w:rPr>
                <w:rFonts w:ascii="Calibri" w:eastAsia="Times New Roman" w:hAnsi="Calibri" w:cs="Times New Roman"/>
                <w:color w:val="FFFFFF"/>
              </w:rPr>
              <w:t>Weighted sample count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D91E24" w:rsidRPr="00D91E24" w:rsidRDefault="00D91E24" w:rsidP="00D91E24">
            <w:pPr>
              <w:spacing w:before="0"/>
              <w:jc w:val="right"/>
              <w:rPr>
                <w:rFonts w:ascii="Calibri" w:eastAsia="Times New Roman" w:hAnsi="Calibri" w:cs="Times New Roman"/>
                <w:color w:val="FFFFFF"/>
              </w:rPr>
            </w:pPr>
            <w:r w:rsidRPr="00D91E24">
              <w:rPr>
                <w:rFonts w:ascii="Calibri" w:eastAsia="Times New Roman" w:hAnsi="Calibri" w:cs="Times New Roman"/>
                <w:color w:val="FFFFFF"/>
              </w:rPr>
              <w:t>Population percentage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D91E24" w:rsidRPr="00D91E24" w:rsidRDefault="00D91E24" w:rsidP="00D91E24">
            <w:pPr>
              <w:spacing w:before="0"/>
              <w:jc w:val="right"/>
              <w:rPr>
                <w:rFonts w:ascii="Calibri" w:eastAsia="Times New Roman" w:hAnsi="Calibri" w:cs="Times New Roman"/>
                <w:color w:val="FFFFFF"/>
              </w:rPr>
            </w:pPr>
            <w:r w:rsidRPr="00D91E24">
              <w:rPr>
                <w:rFonts w:ascii="Calibri" w:eastAsia="Times New Roman" w:hAnsi="Calibri" w:cs="Times New Roman"/>
                <w:color w:val="FFFFFF"/>
              </w:rPr>
              <w:t>Weighted sample percentage</w:t>
            </w:r>
          </w:p>
        </w:tc>
      </w:tr>
      <w:tr w:rsidR="00D91E24" w:rsidRPr="00D91E24" w:rsidTr="00D91E24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E24" w:rsidRPr="00D91E24" w:rsidRDefault="00D91E24" w:rsidP="00D91E24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D91E24">
              <w:rPr>
                <w:rFonts w:ascii="Calibri" w:eastAsia="Times New Roman" w:hAnsi="Calibri" w:cs="Times New Roman"/>
                <w:color w:val="000000"/>
              </w:rPr>
              <w:t>Missing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E24" w:rsidRPr="00D91E24" w:rsidRDefault="00D91E24" w:rsidP="00D91E24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1E2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E24" w:rsidRPr="00D91E24" w:rsidRDefault="00D91E24" w:rsidP="00D91E24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1E2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E24" w:rsidRPr="00D91E24" w:rsidRDefault="00D91E24" w:rsidP="00D91E24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1E24">
              <w:rPr>
                <w:rFonts w:ascii="Calibri" w:eastAsia="Times New Roman" w:hAnsi="Calibri" w:cs="Times New Roman"/>
                <w:color w:val="000000"/>
              </w:rPr>
              <w:t>0.000%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E24" w:rsidRPr="00D91E24" w:rsidRDefault="00D91E24" w:rsidP="00D91E24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1E24">
              <w:rPr>
                <w:rFonts w:ascii="Calibri" w:eastAsia="Times New Roman" w:hAnsi="Calibri" w:cs="Times New Roman"/>
                <w:color w:val="000000"/>
              </w:rPr>
              <w:t>0.000%</w:t>
            </w:r>
          </w:p>
        </w:tc>
      </w:tr>
      <w:tr w:rsidR="00D91E24" w:rsidRPr="00D91E24" w:rsidTr="00D91E24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E24" w:rsidRPr="00D91E24" w:rsidRDefault="00D91E24" w:rsidP="00D91E24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D91E24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E24" w:rsidRPr="00D91E24" w:rsidRDefault="00D91E24" w:rsidP="00D91E24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1E24">
              <w:rPr>
                <w:rFonts w:ascii="Calibri" w:eastAsia="Times New Roman" w:hAnsi="Calibri" w:cs="Times New Roman"/>
                <w:color w:val="000000"/>
              </w:rPr>
              <w:t>2603668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E24" w:rsidRPr="00D91E24" w:rsidRDefault="00D91E24" w:rsidP="00D91E24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1E24">
              <w:rPr>
                <w:rFonts w:ascii="Calibri" w:eastAsia="Times New Roman" w:hAnsi="Calibri" w:cs="Times New Roman"/>
                <w:color w:val="000000"/>
              </w:rPr>
              <w:t>2598149.2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E24" w:rsidRPr="00D91E24" w:rsidRDefault="00D91E24" w:rsidP="00D91E24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1E24">
              <w:rPr>
                <w:rFonts w:ascii="Calibri" w:eastAsia="Times New Roman" w:hAnsi="Calibri" w:cs="Times New Roman"/>
                <w:color w:val="000000"/>
              </w:rPr>
              <w:t>79.951%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E24" w:rsidRPr="00D91E24" w:rsidRDefault="00D91E24" w:rsidP="00D91E24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1E24">
              <w:rPr>
                <w:rFonts w:ascii="Calibri" w:eastAsia="Times New Roman" w:hAnsi="Calibri" w:cs="Times New Roman"/>
                <w:color w:val="000000"/>
              </w:rPr>
              <w:t>79.976%</w:t>
            </w:r>
          </w:p>
        </w:tc>
      </w:tr>
      <w:tr w:rsidR="00D91E24" w:rsidRPr="00D91E24" w:rsidTr="00D91E24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E24" w:rsidRPr="00D91E24" w:rsidRDefault="00D91E24" w:rsidP="00D91E24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D91E24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E24" w:rsidRPr="00D91E24" w:rsidRDefault="00D91E24" w:rsidP="00D91E24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1E24">
              <w:rPr>
                <w:rFonts w:ascii="Calibri" w:eastAsia="Times New Roman" w:hAnsi="Calibri" w:cs="Times New Roman"/>
                <w:color w:val="000000"/>
              </w:rPr>
              <w:t>652888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E24" w:rsidRPr="00D91E24" w:rsidRDefault="00D91E24" w:rsidP="00D91E24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1E24">
              <w:rPr>
                <w:rFonts w:ascii="Calibri" w:eastAsia="Times New Roman" w:hAnsi="Calibri" w:cs="Times New Roman"/>
                <w:color w:val="000000"/>
              </w:rPr>
              <w:t>650497.77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E24" w:rsidRPr="00D91E24" w:rsidRDefault="00D91E24" w:rsidP="00D91E24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1E24">
              <w:rPr>
                <w:rFonts w:ascii="Calibri" w:eastAsia="Times New Roman" w:hAnsi="Calibri" w:cs="Times New Roman"/>
                <w:color w:val="000000"/>
              </w:rPr>
              <w:t>20.048%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E24" w:rsidRPr="00D91E24" w:rsidRDefault="00D91E24" w:rsidP="00D91E24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1E24">
              <w:rPr>
                <w:rFonts w:ascii="Calibri" w:eastAsia="Times New Roman" w:hAnsi="Calibri" w:cs="Times New Roman"/>
                <w:color w:val="000000"/>
              </w:rPr>
              <w:t>20.024%</w:t>
            </w:r>
          </w:p>
        </w:tc>
      </w:tr>
    </w:tbl>
    <w:p w:rsidR="00BF7A9B" w:rsidRDefault="00D71C79" w:rsidP="002F2CD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</w:t>
      </w:r>
      <w:r w:rsidR="00BF7A9B">
        <w:rPr>
          <w:rFonts w:ascii="Times New Roman" w:hAnsi="Times New Roman"/>
          <w:sz w:val="24"/>
        </w:rPr>
        <w:t>. Household Income</w:t>
      </w:r>
    </w:p>
    <w:p w:rsidR="00BF7A9B" w:rsidRDefault="00BF7A9B" w:rsidP="002F2CD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Annual household income is measured by character variable “inc5000”. Income is reported in 13 categories. The first 12 categories </w:t>
      </w:r>
      <w:r w:rsidR="00380BED">
        <w:rPr>
          <w:rFonts w:ascii="Times New Roman" w:hAnsi="Times New Roman"/>
          <w:sz w:val="24"/>
        </w:rPr>
        <w:t>report income in $5000 increments: 0-$5000, $5000-$10</w:t>
      </w:r>
      <w:proofErr w:type="gramStart"/>
      <w:r w:rsidR="00380BED">
        <w:rPr>
          <w:rFonts w:ascii="Times New Roman" w:hAnsi="Times New Roman"/>
          <w:sz w:val="24"/>
        </w:rPr>
        <w:t>,000</w:t>
      </w:r>
      <w:proofErr w:type="gramEnd"/>
      <w:r w:rsidR="00380BED">
        <w:rPr>
          <w:rFonts w:ascii="Times New Roman" w:hAnsi="Times New Roman"/>
          <w:sz w:val="24"/>
        </w:rPr>
        <w:t>,…, $55,000-$60,000. The thirteenth category is for households with income between $60,000 and $90,000. Income is top-coded at $90,000.</w:t>
      </w:r>
      <w:r w:rsidR="00CB143A">
        <w:rPr>
          <w:rFonts w:ascii="Times New Roman" w:hAnsi="Times New Roman"/>
          <w:sz w:val="24"/>
        </w:rPr>
        <w:t xml:space="preserve"> Table 12 reports population and weighted sample frequencies.</w:t>
      </w:r>
    </w:p>
    <w:p w:rsidR="00865CF6" w:rsidRDefault="00865CF6" w:rsidP="002F2CDC">
      <w:pPr>
        <w:rPr>
          <w:rFonts w:ascii="Times New Roman" w:hAnsi="Times New Roman"/>
          <w:sz w:val="24"/>
        </w:rPr>
      </w:pPr>
    </w:p>
    <w:p w:rsidR="00865CF6" w:rsidRDefault="00865CF6" w:rsidP="002F2CDC">
      <w:pPr>
        <w:rPr>
          <w:rFonts w:ascii="Times New Roman" w:hAnsi="Times New Roman"/>
          <w:sz w:val="24"/>
        </w:rPr>
      </w:pPr>
    </w:p>
    <w:p w:rsidR="00865CF6" w:rsidRDefault="00865CF6" w:rsidP="002F2CDC">
      <w:pPr>
        <w:rPr>
          <w:rFonts w:ascii="Times New Roman" w:hAnsi="Times New Roman"/>
          <w:sz w:val="24"/>
        </w:rPr>
      </w:pPr>
    </w:p>
    <w:p w:rsidR="00865CF6" w:rsidRDefault="00865CF6" w:rsidP="002F2CDC">
      <w:pPr>
        <w:rPr>
          <w:rFonts w:ascii="Times New Roman" w:hAnsi="Times New Roman"/>
          <w:sz w:val="24"/>
        </w:rPr>
      </w:pPr>
    </w:p>
    <w:p w:rsidR="00865CF6" w:rsidRDefault="00865CF6" w:rsidP="002F2CDC">
      <w:pPr>
        <w:rPr>
          <w:rFonts w:ascii="Times New Roman" w:hAnsi="Times New Roman"/>
          <w:sz w:val="24"/>
        </w:rPr>
      </w:pPr>
    </w:p>
    <w:p w:rsidR="00865CF6" w:rsidRDefault="00865CF6" w:rsidP="002F2CDC">
      <w:pPr>
        <w:rPr>
          <w:rFonts w:ascii="Times New Roman" w:hAnsi="Times New Roman"/>
          <w:sz w:val="24"/>
        </w:rPr>
      </w:pPr>
    </w:p>
    <w:p w:rsidR="00865CF6" w:rsidRDefault="00865CF6" w:rsidP="002F2CDC">
      <w:pPr>
        <w:rPr>
          <w:rFonts w:ascii="Times New Roman" w:hAnsi="Times New Roman"/>
          <w:sz w:val="24"/>
        </w:rPr>
      </w:pPr>
    </w:p>
    <w:p w:rsidR="00865CF6" w:rsidRDefault="00865CF6" w:rsidP="002F2CDC">
      <w:pPr>
        <w:rPr>
          <w:rFonts w:ascii="Times New Roman" w:hAnsi="Times New Roman"/>
          <w:sz w:val="24"/>
        </w:rPr>
      </w:pPr>
    </w:p>
    <w:p w:rsidR="00982098" w:rsidRDefault="00982098" w:rsidP="002F2CD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Table 12: Household Income Frequencies</w:t>
      </w:r>
    </w:p>
    <w:tbl>
      <w:tblPr>
        <w:tblW w:w="6300" w:type="dxa"/>
        <w:tblInd w:w="93" w:type="dxa"/>
        <w:tblLook w:val="04A0"/>
      </w:tblPr>
      <w:tblGrid>
        <w:gridCol w:w="1480"/>
        <w:gridCol w:w="1189"/>
        <w:gridCol w:w="1164"/>
        <w:gridCol w:w="1260"/>
        <w:gridCol w:w="1320"/>
      </w:tblGrid>
      <w:tr w:rsidR="00070FFA" w:rsidRPr="00070FFA" w:rsidTr="00070FFA">
        <w:trPr>
          <w:trHeight w:val="9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070FFA" w:rsidRPr="00070FFA" w:rsidRDefault="00070FFA" w:rsidP="00070FFA">
            <w:pPr>
              <w:spacing w:before="0"/>
              <w:rPr>
                <w:rFonts w:ascii="Calibri" w:eastAsia="Times New Roman" w:hAnsi="Calibri" w:cs="Times New Roman"/>
                <w:color w:val="FFFFFF"/>
              </w:rPr>
            </w:pPr>
            <w:r w:rsidRPr="00070FFA">
              <w:rPr>
                <w:rFonts w:ascii="Calibri" w:eastAsia="Times New Roman" w:hAnsi="Calibri" w:cs="Times New Roman"/>
                <w:color w:val="FFFFFF"/>
              </w:rPr>
              <w:t>Household income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070FFA" w:rsidRPr="00070FFA" w:rsidRDefault="00070FFA" w:rsidP="00070FFA">
            <w:pPr>
              <w:spacing w:before="0"/>
              <w:jc w:val="right"/>
              <w:rPr>
                <w:rFonts w:ascii="Calibri" w:eastAsia="Times New Roman" w:hAnsi="Calibri" w:cs="Times New Roman"/>
                <w:color w:val="FFFFFF"/>
              </w:rPr>
            </w:pPr>
            <w:r w:rsidRPr="00070FFA">
              <w:rPr>
                <w:rFonts w:ascii="Calibri" w:eastAsia="Times New Roman" w:hAnsi="Calibri" w:cs="Times New Roman"/>
                <w:color w:val="FFFFFF"/>
              </w:rPr>
              <w:t>Population count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070FFA" w:rsidRPr="00070FFA" w:rsidRDefault="00070FFA" w:rsidP="00070FFA">
            <w:pPr>
              <w:spacing w:before="0"/>
              <w:jc w:val="right"/>
              <w:rPr>
                <w:rFonts w:ascii="Calibri" w:eastAsia="Times New Roman" w:hAnsi="Calibri" w:cs="Times New Roman"/>
                <w:color w:val="FFFFFF"/>
              </w:rPr>
            </w:pPr>
            <w:r w:rsidRPr="00070FFA">
              <w:rPr>
                <w:rFonts w:ascii="Calibri" w:eastAsia="Times New Roman" w:hAnsi="Calibri" w:cs="Times New Roman"/>
                <w:color w:val="FFFFFF"/>
              </w:rPr>
              <w:t>Weighted sample count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070FFA" w:rsidRPr="00070FFA" w:rsidRDefault="00070FFA" w:rsidP="00070FFA">
            <w:pPr>
              <w:spacing w:before="0"/>
              <w:jc w:val="right"/>
              <w:rPr>
                <w:rFonts w:ascii="Calibri" w:eastAsia="Times New Roman" w:hAnsi="Calibri" w:cs="Times New Roman"/>
                <w:color w:val="FFFFFF"/>
              </w:rPr>
            </w:pPr>
            <w:r w:rsidRPr="00070FFA">
              <w:rPr>
                <w:rFonts w:ascii="Calibri" w:eastAsia="Times New Roman" w:hAnsi="Calibri" w:cs="Times New Roman"/>
                <w:color w:val="FFFFFF"/>
              </w:rPr>
              <w:t>Population percentage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070FFA" w:rsidRPr="00070FFA" w:rsidRDefault="00070FFA" w:rsidP="00070FFA">
            <w:pPr>
              <w:spacing w:before="0"/>
              <w:jc w:val="right"/>
              <w:rPr>
                <w:rFonts w:ascii="Calibri" w:eastAsia="Times New Roman" w:hAnsi="Calibri" w:cs="Times New Roman"/>
                <w:color w:val="FFFFFF"/>
              </w:rPr>
            </w:pPr>
            <w:r w:rsidRPr="00070FFA">
              <w:rPr>
                <w:rFonts w:ascii="Calibri" w:eastAsia="Times New Roman" w:hAnsi="Calibri" w:cs="Times New Roman"/>
                <w:color w:val="FFFFFF"/>
              </w:rPr>
              <w:t>Weighted sample percentage</w:t>
            </w:r>
          </w:p>
        </w:tc>
      </w:tr>
      <w:tr w:rsidR="00070FFA" w:rsidRPr="00070FFA" w:rsidTr="00070FFA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FFA" w:rsidRPr="00070FFA" w:rsidRDefault="00070FFA" w:rsidP="00070FFA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070FFA">
              <w:rPr>
                <w:rFonts w:ascii="Calibri" w:eastAsia="Times New Roman" w:hAnsi="Calibri" w:cs="Times New Roman"/>
                <w:color w:val="000000"/>
              </w:rPr>
              <w:t>0- 5000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FFA" w:rsidRPr="00070FFA" w:rsidRDefault="00070FFA" w:rsidP="00070FFA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FFA">
              <w:rPr>
                <w:rFonts w:ascii="Calibri" w:eastAsia="Times New Roman" w:hAnsi="Calibri" w:cs="Times New Roman"/>
                <w:color w:val="000000"/>
              </w:rPr>
              <w:t>475905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FFA" w:rsidRPr="00070FFA" w:rsidRDefault="00070FFA" w:rsidP="00070FFA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FFA">
              <w:rPr>
                <w:rFonts w:ascii="Calibri" w:eastAsia="Times New Roman" w:hAnsi="Calibri" w:cs="Times New Roman"/>
                <w:color w:val="000000"/>
              </w:rPr>
              <w:t>478025.84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FFA" w:rsidRPr="00070FFA" w:rsidRDefault="00070FFA" w:rsidP="00070FFA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FFA">
              <w:rPr>
                <w:rFonts w:ascii="Calibri" w:eastAsia="Times New Roman" w:hAnsi="Calibri" w:cs="Times New Roman"/>
                <w:color w:val="000000"/>
              </w:rPr>
              <w:t>14.614%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FFA" w:rsidRPr="00070FFA" w:rsidRDefault="00070FFA" w:rsidP="00070FFA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FFA">
              <w:rPr>
                <w:rFonts w:ascii="Calibri" w:eastAsia="Times New Roman" w:hAnsi="Calibri" w:cs="Times New Roman"/>
                <w:color w:val="000000"/>
              </w:rPr>
              <w:t>14.715%</w:t>
            </w:r>
          </w:p>
        </w:tc>
      </w:tr>
      <w:tr w:rsidR="00070FFA" w:rsidRPr="00070FFA" w:rsidTr="00070FFA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FFA" w:rsidRPr="00070FFA" w:rsidRDefault="00070FFA" w:rsidP="00070FFA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070FFA">
              <w:rPr>
                <w:rFonts w:ascii="Calibri" w:eastAsia="Times New Roman" w:hAnsi="Calibri" w:cs="Times New Roman"/>
                <w:color w:val="000000"/>
              </w:rPr>
              <w:t>5000-10000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FFA" w:rsidRPr="00070FFA" w:rsidRDefault="00070FFA" w:rsidP="00070FFA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FFA">
              <w:rPr>
                <w:rFonts w:ascii="Calibri" w:eastAsia="Times New Roman" w:hAnsi="Calibri" w:cs="Times New Roman"/>
                <w:color w:val="000000"/>
              </w:rPr>
              <w:t>1069082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FFA" w:rsidRPr="00070FFA" w:rsidRDefault="00070FFA" w:rsidP="00070FFA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FFA">
              <w:rPr>
                <w:rFonts w:ascii="Calibri" w:eastAsia="Times New Roman" w:hAnsi="Calibri" w:cs="Times New Roman"/>
                <w:color w:val="000000"/>
              </w:rPr>
              <w:t>1065927.6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FFA" w:rsidRPr="00070FFA" w:rsidRDefault="00070FFA" w:rsidP="00070FFA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FFA">
              <w:rPr>
                <w:rFonts w:ascii="Calibri" w:eastAsia="Times New Roman" w:hAnsi="Calibri" w:cs="Times New Roman"/>
                <w:color w:val="000000"/>
              </w:rPr>
              <w:t>32.828%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FFA" w:rsidRPr="00070FFA" w:rsidRDefault="00070FFA" w:rsidP="00070FFA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FFA">
              <w:rPr>
                <w:rFonts w:ascii="Calibri" w:eastAsia="Times New Roman" w:hAnsi="Calibri" w:cs="Times New Roman"/>
                <w:color w:val="000000"/>
              </w:rPr>
              <w:t>32.811%</w:t>
            </w:r>
          </w:p>
        </w:tc>
      </w:tr>
      <w:tr w:rsidR="00070FFA" w:rsidRPr="00070FFA" w:rsidTr="00070FFA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FFA" w:rsidRPr="00070FFA" w:rsidRDefault="00070FFA" w:rsidP="00070FFA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070FFA">
              <w:rPr>
                <w:rFonts w:ascii="Calibri" w:eastAsia="Times New Roman" w:hAnsi="Calibri" w:cs="Times New Roman"/>
                <w:color w:val="000000"/>
              </w:rPr>
              <w:t>10000-15000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FFA" w:rsidRPr="00070FFA" w:rsidRDefault="00070FFA" w:rsidP="00070FFA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FFA">
              <w:rPr>
                <w:rFonts w:ascii="Calibri" w:eastAsia="Times New Roman" w:hAnsi="Calibri" w:cs="Times New Roman"/>
                <w:color w:val="000000"/>
              </w:rPr>
              <w:t>742978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FFA" w:rsidRPr="00070FFA" w:rsidRDefault="00070FFA" w:rsidP="00070FFA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FFA">
              <w:rPr>
                <w:rFonts w:ascii="Calibri" w:eastAsia="Times New Roman" w:hAnsi="Calibri" w:cs="Times New Roman"/>
                <w:color w:val="000000"/>
              </w:rPr>
              <w:t>745517.02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FFA" w:rsidRPr="00070FFA" w:rsidRDefault="00070FFA" w:rsidP="00070FFA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FFA">
              <w:rPr>
                <w:rFonts w:ascii="Calibri" w:eastAsia="Times New Roman" w:hAnsi="Calibri" w:cs="Times New Roman"/>
                <w:color w:val="000000"/>
              </w:rPr>
              <w:t>22.815%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FFA" w:rsidRPr="00070FFA" w:rsidRDefault="00070FFA" w:rsidP="00070FFA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FFA">
              <w:rPr>
                <w:rFonts w:ascii="Calibri" w:eastAsia="Times New Roman" w:hAnsi="Calibri" w:cs="Times New Roman"/>
                <w:color w:val="000000"/>
              </w:rPr>
              <w:t>22.949%</w:t>
            </w:r>
          </w:p>
        </w:tc>
      </w:tr>
      <w:tr w:rsidR="00070FFA" w:rsidRPr="00070FFA" w:rsidTr="00070FFA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FFA" w:rsidRPr="00070FFA" w:rsidRDefault="00070FFA" w:rsidP="00070FFA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070FFA">
              <w:rPr>
                <w:rFonts w:ascii="Calibri" w:eastAsia="Times New Roman" w:hAnsi="Calibri" w:cs="Times New Roman"/>
                <w:color w:val="000000"/>
              </w:rPr>
              <w:t>15000-20000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FFA" w:rsidRPr="00070FFA" w:rsidRDefault="00070FFA" w:rsidP="00070FFA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FFA">
              <w:rPr>
                <w:rFonts w:ascii="Calibri" w:eastAsia="Times New Roman" w:hAnsi="Calibri" w:cs="Times New Roman"/>
                <w:color w:val="000000"/>
              </w:rPr>
              <w:t>433075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FFA" w:rsidRPr="00070FFA" w:rsidRDefault="00070FFA" w:rsidP="00070FFA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FFA">
              <w:rPr>
                <w:rFonts w:ascii="Calibri" w:eastAsia="Times New Roman" w:hAnsi="Calibri" w:cs="Times New Roman"/>
                <w:color w:val="000000"/>
              </w:rPr>
              <w:t>429273.48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FFA" w:rsidRPr="00070FFA" w:rsidRDefault="00070FFA" w:rsidP="00070FFA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FFA">
              <w:rPr>
                <w:rFonts w:ascii="Calibri" w:eastAsia="Times New Roman" w:hAnsi="Calibri" w:cs="Times New Roman"/>
                <w:color w:val="000000"/>
              </w:rPr>
              <w:t>13.299%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FFA" w:rsidRPr="00070FFA" w:rsidRDefault="00070FFA" w:rsidP="00070FFA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FFA">
              <w:rPr>
                <w:rFonts w:ascii="Calibri" w:eastAsia="Times New Roman" w:hAnsi="Calibri" w:cs="Times New Roman"/>
                <w:color w:val="000000"/>
              </w:rPr>
              <w:t>13.214%</w:t>
            </w:r>
          </w:p>
        </w:tc>
      </w:tr>
      <w:tr w:rsidR="00070FFA" w:rsidRPr="00070FFA" w:rsidTr="00070FFA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FFA" w:rsidRPr="00070FFA" w:rsidRDefault="00070FFA" w:rsidP="00070FFA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070FFA">
              <w:rPr>
                <w:rFonts w:ascii="Calibri" w:eastAsia="Times New Roman" w:hAnsi="Calibri" w:cs="Times New Roman"/>
                <w:color w:val="000000"/>
              </w:rPr>
              <w:t>20000-25000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FFA" w:rsidRPr="00070FFA" w:rsidRDefault="00070FFA" w:rsidP="00070FFA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FFA">
              <w:rPr>
                <w:rFonts w:ascii="Calibri" w:eastAsia="Times New Roman" w:hAnsi="Calibri" w:cs="Times New Roman"/>
                <w:color w:val="000000"/>
              </w:rPr>
              <w:t>233773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FFA" w:rsidRPr="00070FFA" w:rsidRDefault="00070FFA" w:rsidP="00070FFA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FFA">
              <w:rPr>
                <w:rFonts w:ascii="Calibri" w:eastAsia="Times New Roman" w:hAnsi="Calibri" w:cs="Times New Roman"/>
                <w:color w:val="000000"/>
              </w:rPr>
              <w:t>233382.26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FFA" w:rsidRPr="00070FFA" w:rsidRDefault="00070FFA" w:rsidP="00070FFA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FFA">
              <w:rPr>
                <w:rFonts w:ascii="Calibri" w:eastAsia="Times New Roman" w:hAnsi="Calibri" w:cs="Times New Roman"/>
                <w:color w:val="000000"/>
              </w:rPr>
              <w:t>7.179%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FFA" w:rsidRPr="00070FFA" w:rsidRDefault="00070FFA" w:rsidP="00070FFA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FFA">
              <w:rPr>
                <w:rFonts w:ascii="Calibri" w:eastAsia="Times New Roman" w:hAnsi="Calibri" w:cs="Times New Roman"/>
                <w:color w:val="000000"/>
              </w:rPr>
              <w:t>7.184%</w:t>
            </w:r>
          </w:p>
        </w:tc>
      </w:tr>
      <w:tr w:rsidR="00070FFA" w:rsidRPr="00070FFA" w:rsidTr="00070FFA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FFA" w:rsidRPr="00070FFA" w:rsidRDefault="00070FFA" w:rsidP="00070FFA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070FFA">
              <w:rPr>
                <w:rFonts w:ascii="Calibri" w:eastAsia="Times New Roman" w:hAnsi="Calibri" w:cs="Times New Roman"/>
                <w:color w:val="000000"/>
              </w:rPr>
              <w:t>25000-30000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FFA" w:rsidRPr="00070FFA" w:rsidRDefault="00070FFA" w:rsidP="00070FFA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FFA">
              <w:rPr>
                <w:rFonts w:ascii="Calibri" w:eastAsia="Times New Roman" w:hAnsi="Calibri" w:cs="Times New Roman"/>
                <w:color w:val="000000"/>
              </w:rPr>
              <w:t>129075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FFA" w:rsidRPr="00070FFA" w:rsidRDefault="00070FFA" w:rsidP="00070FFA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FFA">
              <w:rPr>
                <w:rFonts w:ascii="Calibri" w:eastAsia="Times New Roman" w:hAnsi="Calibri" w:cs="Times New Roman"/>
                <w:color w:val="000000"/>
              </w:rPr>
              <w:t>128388.26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FFA" w:rsidRPr="00070FFA" w:rsidRDefault="00070FFA" w:rsidP="00070FFA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FFA">
              <w:rPr>
                <w:rFonts w:ascii="Calibri" w:eastAsia="Times New Roman" w:hAnsi="Calibri" w:cs="Times New Roman"/>
                <w:color w:val="000000"/>
              </w:rPr>
              <w:t>3.964%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FFA" w:rsidRPr="00070FFA" w:rsidRDefault="00070FFA" w:rsidP="00070FFA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FFA">
              <w:rPr>
                <w:rFonts w:ascii="Calibri" w:eastAsia="Times New Roman" w:hAnsi="Calibri" w:cs="Times New Roman"/>
                <w:color w:val="000000"/>
              </w:rPr>
              <w:t>3.952%</w:t>
            </w:r>
          </w:p>
        </w:tc>
      </w:tr>
      <w:tr w:rsidR="00070FFA" w:rsidRPr="00070FFA" w:rsidTr="00070FFA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FFA" w:rsidRPr="00070FFA" w:rsidRDefault="00070FFA" w:rsidP="00070FFA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070FFA">
              <w:rPr>
                <w:rFonts w:ascii="Calibri" w:eastAsia="Times New Roman" w:hAnsi="Calibri" w:cs="Times New Roman"/>
                <w:color w:val="000000"/>
              </w:rPr>
              <w:t>30000-35000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FFA" w:rsidRPr="00070FFA" w:rsidRDefault="00070FFA" w:rsidP="00070FFA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FFA">
              <w:rPr>
                <w:rFonts w:ascii="Calibri" w:eastAsia="Times New Roman" w:hAnsi="Calibri" w:cs="Times New Roman"/>
                <w:color w:val="000000"/>
              </w:rPr>
              <w:t>74533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FFA" w:rsidRPr="00070FFA" w:rsidRDefault="00070FFA" w:rsidP="00070FFA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FFA">
              <w:rPr>
                <w:rFonts w:ascii="Calibri" w:eastAsia="Times New Roman" w:hAnsi="Calibri" w:cs="Times New Roman"/>
                <w:color w:val="000000"/>
              </w:rPr>
              <w:t>73486.451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FFA" w:rsidRPr="00070FFA" w:rsidRDefault="00070FFA" w:rsidP="00070FFA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FFA">
              <w:rPr>
                <w:rFonts w:ascii="Calibri" w:eastAsia="Times New Roman" w:hAnsi="Calibri" w:cs="Times New Roman"/>
                <w:color w:val="000000"/>
              </w:rPr>
              <w:t>2.289%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FFA" w:rsidRPr="00070FFA" w:rsidRDefault="00070FFA" w:rsidP="00070FFA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FFA">
              <w:rPr>
                <w:rFonts w:ascii="Calibri" w:eastAsia="Times New Roman" w:hAnsi="Calibri" w:cs="Times New Roman"/>
                <w:color w:val="000000"/>
              </w:rPr>
              <w:t>2.262%</w:t>
            </w:r>
          </w:p>
        </w:tc>
      </w:tr>
      <w:tr w:rsidR="00070FFA" w:rsidRPr="00070FFA" w:rsidTr="00070FFA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FFA" w:rsidRPr="00070FFA" w:rsidRDefault="00070FFA" w:rsidP="00070FFA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070FFA">
              <w:rPr>
                <w:rFonts w:ascii="Calibri" w:eastAsia="Times New Roman" w:hAnsi="Calibri" w:cs="Times New Roman"/>
                <w:color w:val="000000"/>
              </w:rPr>
              <w:t>35000-40000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FFA" w:rsidRPr="00070FFA" w:rsidRDefault="00070FFA" w:rsidP="00070FFA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FFA">
              <w:rPr>
                <w:rFonts w:ascii="Calibri" w:eastAsia="Times New Roman" w:hAnsi="Calibri" w:cs="Times New Roman"/>
                <w:color w:val="000000"/>
              </w:rPr>
              <w:t>41877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FFA" w:rsidRPr="00070FFA" w:rsidRDefault="00070FFA" w:rsidP="00070FFA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FFA">
              <w:rPr>
                <w:rFonts w:ascii="Calibri" w:eastAsia="Times New Roman" w:hAnsi="Calibri" w:cs="Times New Roman"/>
                <w:color w:val="000000"/>
              </w:rPr>
              <w:t>41162.109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FFA" w:rsidRPr="00070FFA" w:rsidRDefault="00070FFA" w:rsidP="00070FFA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FFA">
              <w:rPr>
                <w:rFonts w:ascii="Calibri" w:eastAsia="Times New Roman" w:hAnsi="Calibri" w:cs="Times New Roman"/>
                <w:color w:val="000000"/>
              </w:rPr>
              <w:t>1.286%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FFA" w:rsidRPr="00070FFA" w:rsidRDefault="00070FFA" w:rsidP="00070FFA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FFA">
              <w:rPr>
                <w:rFonts w:ascii="Calibri" w:eastAsia="Times New Roman" w:hAnsi="Calibri" w:cs="Times New Roman"/>
                <w:color w:val="000000"/>
              </w:rPr>
              <w:t>1.267%</w:t>
            </w:r>
          </w:p>
        </w:tc>
      </w:tr>
      <w:tr w:rsidR="00070FFA" w:rsidRPr="00070FFA" w:rsidTr="00070FFA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FFA" w:rsidRPr="00070FFA" w:rsidRDefault="00070FFA" w:rsidP="00070FFA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070FFA">
              <w:rPr>
                <w:rFonts w:ascii="Calibri" w:eastAsia="Times New Roman" w:hAnsi="Calibri" w:cs="Times New Roman"/>
                <w:color w:val="000000"/>
              </w:rPr>
              <w:t>40000-45000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FFA" w:rsidRPr="00070FFA" w:rsidRDefault="00070FFA" w:rsidP="00070FFA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FFA">
              <w:rPr>
                <w:rFonts w:ascii="Calibri" w:eastAsia="Times New Roman" w:hAnsi="Calibri" w:cs="Times New Roman"/>
                <w:color w:val="000000"/>
              </w:rPr>
              <w:t>23848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FFA" w:rsidRPr="00070FFA" w:rsidRDefault="00070FFA" w:rsidP="00070FFA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FFA">
              <w:rPr>
                <w:rFonts w:ascii="Calibri" w:eastAsia="Times New Roman" w:hAnsi="Calibri" w:cs="Times New Roman"/>
                <w:color w:val="000000"/>
              </w:rPr>
              <w:t>22483.335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FFA" w:rsidRPr="00070FFA" w:rsidRDefault="00070FFA" w:rsidP="00070FFA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FFA">
              <w:rPr>
                <w:rFonts w:ascii="Calibri" w:eastAsia="Times New Roman" w:hAnsi="Calibri" w:cs="Times New Roman"/>
                <w:color w:val="000000"/>
              </w:rPr>
              <w:t>0.732%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FFA" w:rsidRPr="00070FFA" w:rsidRDefault="00070FFA" w:rsidP="00070FFA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FFA">
              <w:rPr>
                <w:rFonts w:ascii="Calibri" w:eastAsia="Times New Roman" w:hAnsi="Calibri" w:cs="Times New Roman"/>
                <w:color w:val="000000"/>
              </w:rPr>
              <w:t>0.692%</w:t>
            </w:r>
          </w:p>
        </w:tc>
      </w:tr>
      <w:tr w:rsidR="00070FFA" w:rsidRPr="00070FFA" w:rsidTr="00070FFA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FFA" w:rsidRPr="00070FFA" w:rsidRDefault="00070FFA" w:rsidP="00070FFA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070FFA">
              <w:rPr>
                <w:rFonts w:ascii="Calibri" w:eastAsia="Times New Roman" w:hAnsi="Calibri" w:cs="Times New Roman"/>
                <w:color w:val="000000"/>
              </w:rPr>
              <w:t>45000-50000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FFA" w:rsidRPr="00070FFA" w:rsidRDefault="00070FFA" w:rsidP="00070FFA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FFA">
              <w:rPr>
                <w:rFonts w:ascii="Calibri" w:eastAsia="Times New Roman" w:hAnsi="Calibri" w:cs="Times New Roman"/>
                <w:color w:val="000000"/>
              </w:rPr>
              <w:t>13689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FFA" w:rsidRPr="00070FFA" w:rsidRDefault="00070FFA" w:rsidP="00070FFA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FFA">
              <w:rPr>
                <w:rFonts w:ascii="Calibri" w:eastAsia="Times New Roman" w:hAnsi="Calibri" w:cs="Times New Roman"/>
                <w:color w:val="000000"/>
              </w:rPr>
              <w:t>13849.194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FFA" w:rsidRPr="00070FFA" w:rsidRDefault="00070FFA" w:rsidP="00070FFA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FFA">
              <w:rPr>
                <w:rFonts w:ascii="Calibri" w:eastAsia="Times New Roman" w:hAnsi="Calibri" w:cs="Times New Roman"/>
                <w:color w:val="000000"/>
              </w:rPr>
              <w:t>0.420%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FFA" w:rsidRPr="00070FFA" w:rsidRDefault="00070FFA" w:rsidP="00070FFA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FFA">
              <w:rPr>
                <w:rFonts w:ascii="Calibri" w:eastAsia="Times New Roman" w:hAnsi="Calibri" w:cs="Times New Roman"/>
                <w:color w:val="000000"/>
              </w:rPr>
              <w:t>0.426%</w:t>
            </w:r>
          </w:p>
        </w:tc>
      </w:tr>
      <w:tr w:rsidR="00070FFA" w:rsidRPr="00070FFA" w:rsidTr="00070FFA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FFA" w:rsidRPr="00070FFA" w:rsidRDefault="00070FFA" w:rsidP="00070FFA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070FFA">
              <w:rPr>
                <w:rFonts w:ascii="Calibri" w:eastAsia="Times New Roman" w:hAnsi="Calibri" w:cs="Times New Roman"/>
                <w:color w:val="000000"/>
              </w:rPr>
              <w:t>50000-55000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FFA" w:rsidRPr="00070FFA" w:rsidRDefault="00070FFA" w:rsidP="00070FFA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FFA">
              <w:rPr>
                <w:rFonts w:ascii="Calibri" w:eastAsia="Times New Roman" w:hAnsi="Calibri" w:cs="Times New Roman"/>
                <w:color w:val="000000"/>
              </w:rPr>
              <w:t>7986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FFA" w:rsidRPr="00070FFA" w:rsidRDefault="00070FFA" w:rsidP="00070FFA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FFA">
              <w:rPr>
                <w:rFonts w:ascii="Calibri" w:eastAsia="Times New Roman" w:hAnsi="Calibri" w:cs="Times New Roman"/>
                <w:color w:val="000000"/>
              </w:rPr>
              <w:t>7283.4317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FFA" w:rsidRPr="00070FFA" w:rsidRDefault="00070FFA" w:rsidP="00070FFA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FFA">
              <w:rPr>
                <w:rFonts w:ascii="Calibri" w:eastAsia="Times New Roman" w:hAnsi="Calibri" w:cs="Times New Roman"/>
                <w:color w:val="000000"/>
              </w:rPr>
              <w:t>0.245%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FFA" w:rsidRPr="00070FFA" w:rsidRDefault="00070FFA" w:rsidP="00070FFA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FFA">
              <w:rPr>
                <w:rFonts w:ascii="Calibri" w:eastAsia="Times New Roman" w:hAnsi="Calibri" w:cs="Times New Roman"/>
                <w:color w:val="000000"/>
              </w:rPr>
              <w:t>0.224%</w:t>
            </w:r>
          </w:p>
        </w:tc>
      </w:tr>
      <w:tr w:rsidR="00070FFA" w:rsidRPr="00070FFA" w:rsidTr="00070FFA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FFA" w:rsidRPr="00070FFA" w:rsidRDefault="00070FFA" w:rsidP="00070FFA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070FFA">
              <w:rPr>
                <w:rFonts w:ascii="Calibri" w:eastAsia="Times New Roman" w:hAnsi="Calibri" w:cs="Times New Roman"/>
                <w:color w:val="000000"/>
              </w:rPr>
              <w:t>55000-60000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FFA" w:rsidRPr="00070FFA" w:rsidRDefault="00070FFA" w:rsidP="00070FFA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FFA">
              <w:rPr>
                <w:rFonts w:ascii="Calibri" w:eastAsia="Times New Roman" w:hAnsi="Calibri" w:cs="Times New Roman"/>
                <w:color w:val="000000"/>
              </w:rPr>
              <w:t>4763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FFA" w:rsidRPr="00070FFA" w:rsidRDefault="00070FFA" w:rsidP="00070FFA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FFA">
              <w:rPr>
                <w:rFonts w:ascii="Calibri" w:eastAsia="Times New Roman" w:hAnsi="Calibri" w:cs="Times New Roman"/>
                <w:color w:val="000000"/>
              </w:rPr>
              <w:t>4647.583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FFA" w:rsidRPr="00070FFA" w:rsidRDefault="00070FFA" w:rsidP="00070FFA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FFA">
              <w:rPr>
                <w:rFonts w:ascii="Calibri" w:eastAsia="Times New Roman" w:hAnsi="Calibri" w:cs="Times New Roman"/>
                <w:color w:val="000000"/>
              </w:rPr>
              <w:t>0.146%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FFA" w:rsidRPr="00070FFA" w:rsidRDefault="00070FFA" w:rsidP="00070FFA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FFA">
              <w:rPr>
                <w:rFonts w:ascii="Calibri" w:eastAsia="Times New Roman" w:hAnsi="Calibri" w:cs="Times New Roman"/>
                <w:color w:val="000000"/>
              </w:rPr>
              <w:t>0.143%</w:t>
            </w:r>
          </w:p>
        </w:tc>
      </w:tr>
      <w:tr w:rsidR="00070FFA" w:rsidRPr="00070FFA" w:rsidTr="00070FFA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FFA" w:rsidRPr="00070FFA" w:rsidRDefault="00070FFA" w:rsidP="00070FFA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070FFA">
              <w:rPr>
                <w:rFonts w:ascii="Calibri" w:eastAsia="Times New Roman" w:hAnsi="Calibri" w:cs="Times New Roman"/>
                <w:color w:val="000000"/>
              </w:rPr>
              <w:t>60000-90000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FFA" w:rsidRPr="00070FFA" w:rsidRDefault="00070FFA" w:rsidP="00070FFA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FFA">
              <w:rPr>
                <w:rFonts w:ascii="Calibri" w:eastAsia="Times New Roman" w:hAnsi="Calibri" w:cs="Times New Roman"/>
                <w:color w:val="000000"/>
              </w:rPr>
              <w:t>5984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FFA" w:rsidRPr="00070FFA" w:rsidRDefault="00070FFA" w:rsidP="00070FFA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FFA">
              <w:rPr>
                <w:rFonts w:ascii="Calibri" w:eastAsia="Times New Roman" w:hAnsi="Calibri" w:cs="Times New Roman"/>
                <w:color w:val="000000"/>
              </w:rPr>
              <w:t>5220.4638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FFA" w:rsidRPr="00070FFA" w:rsidRDefault="00070FFA" w:rsidP="00070FFA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FFA">
              <w:rPr>
                <w:rFonts w:ascii="Calibri" w:eastAsia="Times New Roman" w:hAnsi="Calibri" w:cs="Times New Roman"/>
                <w:color w:val="000000"/>
              </w:rPr>
              <w:t>0.184%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FFA" w:rsidRPr="00070FFA" w:rsidRDefault="00070FFA" w:rsidP="00070FFA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0FFA">
              <w:rPr>
                <w:rFonts w:ascii="Calibri" w:eastAsia="Times New Roman" w:hAnsi="Calibri" w:cs="Times New Roman"/>
                <w:color w:val="000000"/>
              </w:rPr>
              <w:t>0.161%</w:t>
            </w:r>
          </w:p>
        </w:tc>
      </w:tr>
    </w:tbl>
    <w:p w:rsidR="00B83A39" w:rsidRDefault="00876E91" w:rsidP="002F2CD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 Adjusted Household Income</w:t>
      </w:r>
    </w:p>
    <w:p w:rsidR="00876E91" w:rsidRDefault="00876E91" w:rsidP="00876E9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Eligibility for </w:t>
      </w:r>
      <w:r w:rsidR="00CB143A">
        <w:rPr>
          <w:rFonts w:ascii="Times New Roman" w:hAnsi="Times New Roman"/>
          <w:sz w:val="24"/>
        </w:rPr>
        <w:t xml:space="preserve">HUD rental assistance programs </w:t>
      </w:r>
      <w:r>
        <w:rPr>
          <w:rFonts w:ascii="Times New Roman" w:hAnsi="Times New Roman"/>
          <w:sz w:val="24"/>
        </w:rPr>
        <w:t xml:space="preserve">is based on adjusted household income. Adjusted income is calculated by subtracting off certain expenses from household income. </w:t>
      </w:r>
      <w:r w:rsidR="003C2211">
        <w:rPr>
          <w:rFonts w:ascii="Times New Roman" w:hAnsi="Times New Roman"/>
          <w:sz w:val="24"/>
        </w:rPr>
        <w:t xml:space="preserve">Details of the </w:t>
      </w:r>
      <w:r>
        <w:rPr>
          <w:rFonts w:ascii="Times New Roman" w:hAnsi="Times New Roman"/>
          <w:sz w:val="24"/>
        </w:rPr>
        <w:t xml:space="preserve">calculation </w:t>
      </w:r>
      <w:r w:rsidR="003C2211">
        <w:rPr>
          <w:rFonts w:ascii="Times New Roman" w:hAnsi="Times New Roman"/>
          <w:sz w:val="24"/>
        </w:rPr>
        <w:t xml:space="preserve">for </w:t>
      </w:r>
      <w:r w:rsidR="00CB6689">
        <w:rPr>
          <w:rFonts w:ascii="Times New Roman" w:hAnsi="Times New Roman"/>
          <w:sz w:val="24"/>
        </w:rPr>
        <w:t xml:space="preserve">PIH </w:t>
      </w:r>
      <w:r w:rsidR="003C2211">
        <w:rPr>
          <w:rFonts w:ascii="Times New Roman" w:hAnsi="Times New Roman"/>
          <w:sz w:val="24"/>
        </w:rPr>
        <w:t xml:space="preserve">programs </w:t>
      </w:r>
      <w:r w:rsidR="00E7655C">
        <w:rPr>
          <w:rFonts w:ascii="Times New Roman" w:hAnsi="Times New Roman"/>
          <w:sz w:val="24"/>
        </w:rPr>
        <w:t>are</w:t>
      </w:r>
      <w:r w:rsidR="00D27BFC">
        <w:rPr>
          <w:rFonts w:ascii="Times New Roman" w:hAnsi="Times New Roman"/>
          <w:sz w:val="24"/>
        </w:rPr>
        <w:t xml:space="preserve"> reported on HUD form 50058</w:t>
      </w:r>
      <w:r>
        <w:rPr>
          <w:rFonts w:ascii="Times New Roman" w:hAnsi="Times New Roman"/>
          <w:sz w:val="24"/>
        </w:rPr>
        <w:t>.</w:t>
      </w:r>
      <w:r>
        <w:rPr>
          <w:rStyle w:val="FootnoteReference"/>
          <w:rFonts w:ascii="Times New Roman" w:hAnsi="Times New Roman"/>
          <w:sz w:val="24"/>
        </w:rPr>
        <w:footnoteReference w:id="4"/>
      </w:r>
    </w:p>
    <w:p w:rsidR="00876E91" w:rsidRDefault="00876E91" w:rsidP="00876E9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Adjusted household </w:t>
      </w:r>
      <w:r w:rsidR="00CB143A">
        <w:rPr>
          <w:rFonts w:ascii="Times New Roman" w:hAnsi="Times New Roman"/>
          <w:sz w:val="24"/>
        </w:rPr>
        <w:t xml:space="preserve">annual </w:t>
      </w:r>
      <w:r>
        <w:rPr>
          <w:rFonts w:ascii="Times New Roman" w:hAnsi="Times New Roman"/>
          <w:sz w:val="24"/>
        </w:rPr>
        <w:t xml:space="preserve">income is measured by character variable “ainc5000”. Income is reported in </w:t>
      </w:r>
      <w:r w:rsidR="00CB143A">
        <w:rPr>
          <w:rFonts w:ascii="Times New Roman" w:hAnsi="Times New Roman"/>
          <w:sz w:val="24"/>
        </w:rPr>
        <w:t>the same 13 categories as household income.</w:t>
      </w:r>
      <w:r>
        <w:rPr>
          <w:rFonts w:ascii="Times New Roman" w:hAnsi="Times New Roman"/>
          <w:sz w:val="24"/>
        </w:rPr>
        <w:t xml:space="preserve"> </w:t>
      </w:r>
      <w:r w:rsidR="00CB143A">
        <w:rPr>
          <w:rFonts w:ascii="Times New Roman" w:hAnsi="Times New Roman"/>
          <w:sz w:val="24"/>
        </w:rPr>
        <w:t>Table 13 reports population and weighted sample frequencies.</w:t>
      </w:r>
    </w:p>
    <w:p w:rsidR="00865CF6" w:rsidRDefault="00865CF6" w:rsidP="00876E91">
      <w:pPr>
        <w:rPr>
          <w:rFonts w:ascii="Times New Roman" w:hAnsi="Times New Roman"/>
          <w:sz w:val="24"/>
        </w:rPr>
      </w:pPr>
    </w:p>
    <w:p w:rsidR="00865CF6" w:rsidRDefault="00865CF6" w:rsidP="00876E91">
      <w:pPr>
        <w:rPr>
          <w:rFonts w:ascii="Times New Roman" w:hAnsi="Times New Roman"/>
          <w:sz w:val="24"/>
        </w:rPr>
      </w:pPr>
    </w:p>
    <w:p w:rsidR="00865CF6" w:rsidRDefault="00865CF6" w:rsidP="00876E91">
      <w:pPr>
        <w:rPr>
          <w:rFonts w:ascii="Times New Roman" w:hAnsi="Times New Roman"/>
          <w:sz w:val="24"/>
        </w:rPr>
      </w:pPr>
    </w:p>
    <w:p w:rsidR="00865CF6" w:rsidRDefault="00865CF6" w:rsidP="00876E91">
      <w:pPr>
        <w:rPr>
          <w:rFonts w:ascii="Times New Roman" w:hAnsi="Times New Roman"/>
          <w:sz w:val="24"/>
        </w:rPr>
      </w:pPr>
    </w:p>
    <w:p w:rsidR="00865CF6" w:rsidRDefault="00865CF6" w:rsidP="00876E91">
      <w:pPr>
        <w:rPr>
          <w:rFonts w:ascii="Times New Roman" w:hAnsi="Times New Roman"/>
          <w:sz w:val="24"/>
        </w:rPr>
      </w:pPr>
    </w:p>
    <w:p w:rsidR="00865CF6" w:rsidRDefault="00865CF6" w:rsidP="00876E91">
      <w:pPr>
        <w:rPr>
          <w:rFonts w:ascii="Times New Roman" w:hAnsi="Times New Roman"/>
          <w:sz w:val="24"/>
        </w:rPr>
      </w:pPr>
    </w:p>
    <w:p w:rsidR="00865CF6" w:rsidRDefault="00865CF6" w:rsidP="00876E91">
      <w:pPr>
        <w:rPr>
          <w:rFonts w:ascii="Times New Roman" w:hAnsi="Times New Roman"/>
          <w:sz w:val="24"/>
        </w:rPr>
      </w:pPr>
    </w:p>
    <w:p w:rsidR="00865CF6" w:rsidRDefault="00865CF6" w:rsidP="00876E91">
      <w:pPr>
        <w:rPr>
          <w:rFonts w:ascii="Times New Roman" w:hAnsi="Times New Roman"/>
          <w:sz w:val="24"/>
        </w:rPr>
      </w:pPr>
    </w:p>
    <w:p w:rsidR="00865CF6" w:rsidRDefault="00865CF6" w:rsidP="00876E91">
      <w:pPr>
        <w:rPr>
          <w:rFonts w:ascii="Times New Roman" w:hAnsi="Times New Roman"/>
          <w:sz w:val="24"/>
        </w:rPr>
      </w:pPr>
    </w:p>
    <w:p w:rsidR="00865CF6" w:rsidRDefault="00865CF6" w:rsidP="00876E9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Table 13: Adjusted Household Income Frequencies</w:t>
      </w:r>
    </w:p>
    <w:tbl>
      <w:tblPr>
        <w:tblW w:w="6320" w:type="dxa"/>
        <w:tblInd w:w="93" w:type="dxa"/>
        <w:tblLook w:val="04A0"/>
      </w:tblPr>
      <w:tblGrid>
        <w:gridCol w:w="1540"/>
        <w:gridCol w:w="1200"/>
        <w:gridCol w:w="1164"/>
        <w:gridCol w:w="1240"/>
        <w:gridCol w:w="1280"/>
      </w:tblGrid>
      <w:tr w:rsidR="00F60A4F" w:rsidRPr="00F60A4F" w:rsidTr="00F60A4F">
        <w:trPr>
          <w:trHeight w:val="9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F60A4F" w:rsidRPr="00F60A4F" w:rsidRDefault="00F60A4F" w:rsidP="00F60A4F">
            <w:pPr>
              <w:spacing w:before="0"/>
              <w:rPr>
                <w:rFonts w:ascii="Calibri" w:eastAsia="Times New Roman" w:hAnsi="Calibri" w:cs="Times New Roman"/>
                <w:color w:val="FFFFFF"/>
              </w:rPr>
            </w:pPr>
            <w:r w:rsidRPr="00F60A4F">
              <w:rPr>
                <w:rFonts w:ascii="Calibri" w:eastAsia="Times New Roman" w:hAnsi="Calibri" w:cs="Times New Roman"/>
                <w:color w:val="FFFFFF"/>
              </w:rPr>
              <w:t>Adjusted Household Income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F60A4F" w:rsidRPr="00F60A4F" w:rsidRDefault="00F60A4F" w:rsidP="00F60A4F">
            <w:pPr>
              <w:spacing w:before="0"/>
              <w:jc w:val="right"/>
              <w:rPr>
                <w:rFonts w:ascii="Calibri" w:eastAsia="Times New Roman" w:hAnsi="Calibri" w:cs="Times New Roman"/>
                <w:color w:val="FFFFFF"/>
              </w:rPr>
            </w:pPr>
            <w:r w:rsidRPr="00F60A4F">
              <w:rPr>
                <w:rFonts w:ascii="Calibri" w:eastAsia="Times New Roman" w:hAnsi="Calibri" w:cs="Times New Roman"/>
                <w:color w:val="FFFFFF"/>
              </w:rPr>
              <w:t>Population count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F60A4F" w:rsidRPr="00F60A4F" w:rsidRDefault="00F60A4F" w:rsidP="00F60A4F">
            <w:pPr>
              <w:spacing w:before="0"/>
              <w:jc w:val="right"/>
              <w:rPr>
                <w:rFonts w:ascii="Calibri" w:eastAsia="Times New Roman" w:hAnsi="Calibri" w:cs="Times New Roman"/>
                <w:color w:val="FFFFFF"/>
              </w:rPr>
            </w:pPr>
            <w:r w:rsidRPr="00F60A4F">
              <w:rPr>
                <w:rFonts w:ascii="Calibri" w:eastAsia="Times New Roman" w:hAnsi="Calibri" w:cs="Times New Roman"/>
                <w:color w:val="FFFFFF"/>
              </w:rPr>
              <w:t>Weighted sample count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F60A4F" w:rsidRPr="00F60A4F" w:rsidRDefault="00F60A4F" w:rsidP="00F60A4F">
            <w:pPr>
              <w:spacing w:before="0"/>
              <w:jc w:val="right"/>
              <w:rPr>
                <w:rFonts w:ascii="Calibri" w:eastAsia="Times New Roman" w:hAnsi="Calibri" w:cs="Times New Roman"/>
                <w:color w:val="FFFFFF"/>
              </w:rPr>
            </w:pPr>
            <w:r w:rsidRPr="00F60A4F">
              <w:rPr>
                <w:rFonts w:ascii="Calibri" w:eastAsia="Times New Roman" w:hAnsi="Calibri" w:cs="Times New Roman"/>
                <w:color w:val="FFFFFF"/>
              </w:rPr>
              <w:t>Population percentage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F60A4F" w:rsidRPr="00F60A4F" w:rsidRDefault="00F60A4F" w:rsidP="00F60A4F">
            <w:pPr>
              <w:spacing w:before="0"/>
              <w:jc w:val="right"/>
              <w:rPr>
                <w:rFonts w:ascii="Calibri" w:eastAsia="Times New Roman" w:hAnsi="Calibri" w:cs="Times New Roman"/>
                <w:color w:val="FFFFFF"/>
              </w:rPr>
            </w:pPr>
            <w:r w:rsidRPr="00F60A4F">
              <w:rPr>
                <w:rFonts w:ascii="Calibri" w:eastAsia="Times New Roman" w:hAnsi="Calibri" w:cs="Times New Roman"/>
                <w:color w:val="FFFFFF"/>
              </w:rPr>
              <w:t>Weighted sample percentage</w:t>
            </w:r>
          </w:p>
        </w:tc>
      </w:tr>
      <w:tr w:rsidR="00F60A4F" w:rsidRPr="00F60A4F" w:rsidTr="00F60A4F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4F" w:rsidRPr="00F60A4F" w:rsidRDefault="00F60A4F" w:rsidP="00F60A4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F60A4F">
              <w:rPr>
                <w:rFonts w:ascii="Calibri" w:eastAsia="Times New Roman" w:hAnsi="Calibri" w:cs="Times New Roman"/>
                <w:color w:val="000000"/>
              </w:rPr>
              <w:t>0- 5000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4F" w:rsidRPr="00F60A4F" w:rsidRDefault="00F60A4F" w:rsidP="00F60A4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A4F">
              <w:rPr>
                <w:rFonts w:ascii="Calibri" w:eastAsia="Times New Roman" w:hAnsi="Calibri" w:cs="Times New Roman"/>
                <w:color w:val="000000"/>
              </w:rPr>
              <w:t>563197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4F" w:rsidRPr="00F60A4F" w:rsidRDefault="00F60A4F" w:rsidP="00F60A4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A4F">
              <w:rPr>
                <w:rFonts w:ascii="Calibri" w:eastAsia="Times New Roman" w:hAnsi="Calibri" w:cs="Times New Roman"/>
                <w:color w:val="000000"/>
              </w:rPr>
              <w:t>564421.9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4F" w:rsidRPr="00F60A4F" w:rsidRDefault="00F60A4F" w:rsidP="00F60A4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A4F">
              <w:rPr>
                <w:rFonts w:ascii="Calibri" w:eastAsia="Times New Roman" w:hAnsi="Calibri" w:cs="Times New Roman"/>
                <w:color w:val="000000"/>
              </w:rPr>
              <w:t>17.294%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4F" w:rsidRPr="00F60A4F" w:rsidRDefault="00F60A4F" w:rsidP="00F60A4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A4F">
              <w:rPr>
                <w:rFonts w:ascii="Calibri" w:eastAsia="Times New Roman" w:hAnsi="Calibri" w:cs="Times New Roman"/>
                <w:color w:val="000000"/>
              </w:rPr>
              <w:t>17.374%</w:t>
            </w:r>
          </w:p>
        </w:tc>
      </w:tr>
      <w:tr w:rsidR="00F60A4F" w:rsidRPr="00F60A4F" w:rsidTr="00F60A4F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4F" w:rsidRPr="00F60A4F" w:rsidRDefault="00F60A4F" w:rsidP="00F60A4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F60A4F">
              <w:rPr>
                <w:rFonts w:ascii="Calibri" w:eastAsia="Times New Roman" w:hAnsi="Calibri" w:cs="Times New Roman"/>
                <w:color w:val="000000"/>
              </w:rPr>
              <w:t>5000-10000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4F" w:rsidRPr="00F60A4F" w:rsidRDefault="00F60A4F" w:rsidP="00F60A4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A4F">
              <w:rPr>
                <w:rFonts w:ascii="Calibri" w:eastAsia="Times New Roman" w:hAnsi="Calibri" w:cs="Times New Roman"/>
                <w:color w:val="000000"/>
              </w:rPr>
              <w:t>1174166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4F" w:rsidRPr="00F60A4F" w:rsidRDefault="00F60A4F" w:rsidP="00F60A4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A4F">
              <w:rPr>
                <w:rFonts w:ascii="Calibri" w:eastAsia="Times New Roman" w:hAnsi="Calibri" w:cs="Times New Roman"/>
                <w:color w:val="000000"/>
              </w:rPr>
              <w:t>1171810.9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4F" w:rsidRPr="00F60A4F" w:rsidRDefault="00F60A4F" w:rsidP="00F60A4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A4F">
              <w:rPr>
                <w:rFonts w:ascii="Calibri" w:eastAsia="Times New Roman" w:hAnsi="Calibri" w:cs="Times New Roman"/>
                <w:color w:val="000000"/>
              </w:rPr>
              <w:t>36.055%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4F" w:rsidRPr="00F60A4F" w:rsidRDefault="00F60A4F" w:rsidP="00F60A4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A4F">
              <w:rPr>
                <w:rFonts w:ascii="Calibri" w:eastAsia="Times New Roman" w:hAnsi="Calibri" w:cs="Times New Roman"/>
                <w:color w:val="000000"/>
              </w:rPr>
              <w:t>36.071%</w:t>
            </w:r>
          </w:p>
        </w:tc>
      </w:tr>
      <w:tr w:rsidR="00F60A4F" w:rsidRPr="00F60A4F" w:rsidTr="00F60A4F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4F" w:rsidRPr="00F60A4F" w:rsidRDefault="00F60A4F" w:rsidP="00F60A4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F60A4F">
              <w:rPr>
                <w:rFonts w:ascii="Calibri" w:eastAsia="Times New Roman" w:hAnsi="Calibri" w:cs="Times New Roman"/>
                <w:color w:val="000000"/>
              </w:rPr>
              <w:t>10000-15000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4F" w:rsidRPr="00F60A4F" w:rsidRDefault="00F60A4F" w:rsidP="00F60A4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A4F">
              <w:rPr>
                <w:rFonts w:ascii="Calibri" w:eastAsia="Times New Roman" w:hAnsi="Calibri" w:cs="Times New Roman"/>
                <w:color w:val="000000"/>
              </w:rPr>
              <w:t>691037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4F" w:rsidRPr="00F60A4F" w:rsidRDefault="00F60A4F" w:rsidP="00F60A4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A4F">
              <w:rPr>
                <w:rFonts w:ascii="Calibri" w:eastAsia="Times New Roman" w:hAnsi="Calibri" w:cs="Times New Roman"/>
                <w:color w:val="000000"/>
              </w:rPr>
              <w:t>690915.92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4F" w:rsidRPr="00F60A4F" w:rsidRDefault="00F60A4F" w:rsidP="00F60A4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A4F">
              <w:rPr>
                <w:rFonts w:ascii="Calibri" w:eastAsia="Times New Roman" w:hAnsi="Calibri" w:cs="Times New Roman"/>
                <w:color w:val="000000"/>
              </w:rPr>
              <w:t>21.220%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4F" w:rsidRPr="00F60A4F" w:rsidRDefault="00F60A4F" w:rsidP="00F60A4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A4F">
              <w:rPr>
                <w:rFonts w:ascii="Calibri" w:eastAsia="Times New Roman" w:hAnsi="Calibri" w:cs="Times New Roman"/>
                <w:color w:val="000000"/>
              </w:rPr>
              <w:t>21.268%</w:t>
            </w:r>
          </w:p>
        </w:tc>
      </w:tr>
      <w:tr w:rsidR="00F60A4F" w:rsidRPr="00F60A4F" w:rsidTr="00F60A4F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4F" w:rsidRPr="00F60A4F" w:rsidRDefault="00F60A4F" w:rsidP="00F60A4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F60A4F">
              <w:rPr>
                <w:rFonts w:ascii="Calibri" w:eastAsia="Times New Roman" w:hAnsi="Calibri" w:cs="Times New Roman"/>
                <w:color w:val="000000"/>
              </w:rPr>
              <w:t>15000-20000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4F" w:rsidRPr="00F60A4F" w:rsidRDefault="00F60A4F" w:rsidP="00F60A4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A4F">
              <w:rPr>
                <w:rFonts w:ascii="Calibri" w:eastAsia="Times New Roman" w:hAnsi="Calibri" w:cs="Times New Roman"/>
                <w:color w:val="000000"/>
              </w:rPr>
              <w:t>378529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4F" w:rsidRPr="00F60A4F" w:rsidRDefault="00F60A4F" w:rsidP="00F60A4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A4F">
              <w:rPr>
                <w:rFonts w:ascii="Calibri" w:eastAsia="Times New Roman" w:hAnsi="Calibri" w:cs="Times New Roman"/>
                <w:color w:val="000000"/>
              </w:rPr>
              <w:t>376669.32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4F" w:rsidRPr="00F60A4F" w:rsidRDefault="00F60A4F" w:rsidP="00F60A4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A4F">
              <w:rPr>
                <w:rFonts w:ascii="Calibri" w:eastAsia="Times New Roman" w:hAnsi="Calibri" w:cs="Times New Roman"/>
                <w:color w:val="000000"/>
              </w:rPr>
              <w:t>11.624%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4F" w:rsidRPr="00F60A4F" w:rsidRDefault="00F60A4F" w:rsidP="00F60A4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A4F">
              <w:rPr>
                <w:rFonts w:ascii="Calibri" w:eastAsia="Times New Roman" w:hAnsi="Calibri" w:cs="Times New Roman"/>
                <w:color w:val="000000"/>
              </w:rPr>
              <w:t>11.595%</w:t>
            </w:r>
          </w:p>
        </w:tc>
      </w:tr>
      <w:tr w:rsidR="00F60A4F" w:rsidRPr="00F60A4F" w:rsidTr="00F60A4F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4F" w:rsidRPr="00F60A4F" w:rsidRDefault="00F60A4F" w:rsidP="00F60A4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F60A4F">
              <w:rPr>
                <w:rFonts w:ascii="Calibri" w:eastAsia="Times New Roman" w:hAnsi="Calibri" w:cs="Times New Roman"/>
                <w:color w:val="000000"/>
              </w:rPr>
              <w:t>20000-25000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4F" w:rsidRPr="00F60A4F" w:rsidRDefault="00F60A4F" w:rsidP="00F60A4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A4F">
              <w:rPr>
                <w:rFonts w:ascii="Calibri" w:eastAsia="Times New Roman" w:hAnsi="Calibri" w:cs="Times New Roman"/>
                <w:color w:val="000000"/>
              </w:rPr>
              <w:t>197820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4F" w:rsidRPr="00F60A4F" w:rsidRDefault="00F60A4F" w:rsidP="00F60A4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A4F">
              <w:rPr>
                <w:rFonts w:ascii="Calibri" w:eastAsia="Times New Roman" w:hAnsi="Calibri" w:cs="Times New Roman"/>
                <w:color w:val="000000"/>
              </w:rPr>
              <w:t>196550.69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4F" w:rsidRPr="00F60A4F" w:rsidRDefault="00F60A4F" w:rsidP="00F60A4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A4F">
              <w:rPr>
                <w:rFonts w:ascii="Calibri" w:eastAsia="Times New Roman" w:hAnsi="Calibri" w:cs="Times New Roman"/>
                <w:color w:val="000000"/>
              </w:rPr>
              <w:t>6.074%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4F" w:rsidRPr="00F60A4F" w:rsidRDefault="00F60A4F" w:rsidP="00F60A4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A4F">
              <w:rPr>
                <w:rFonts w:ascii="Calibri" w:eastAsia="Times New Roman" w:hAnsi="Calibri" w:cs="Times New Roman"/>
                <w:color w:val="000000"/>
              </w:rPr>
              <w:t>6.050%</w:t>
            </w:r>
          </w:p>
        </w:tc>
      </w:tr>
      <w:tr w:rsidR="00F60A4F" w:rsidRPr="00F60A4F" w:rsidTr="00F60A4F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4F" w:rsidRPr="00F60A4F" w:rsidRDefault="00F60A4F" w:rsidP="00F60A4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F60A4F">
              <w:rPr>
                <w:rFonts w:ascii="Calibri" w:eastAsia="Times New Roman" w:hAnsi="Calibri" w:cs="Times New Roman"/>
                <w:color w:val="000000"/>
              </w:rPr>
              <w:t>25000-30000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4F" w:rsidRPr="00F60A4F" w:rsidRDefault="00F60A4F" w:rsidP="00F60A4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A4F">
              <w:rPr>
                <w:rFonts w:ascii="Calibri" w:eastAsia="Times New Roman" w:hAnsi="Calibri" w:cs="Times New Roman"/>
                <w:color w:val="000000"/>
              </w:rPr>
              <w:t>108199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4F" w:rsidRPr="00F60A4F" w:rsidRDefault="00F60A4F" w:rsidP="00F60A4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A4F">
              <w:rPr>
                <w:rFonts w:ascii="Calibri" w:eastAsia="Times New Roman" w:hAnsi="Calibri" w:cs="Times New Roman"/>
                <w:color w:val="000000"/>
              </w:rPr>
              <w:t>108216.7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4F" w:rsidRPr="00F60A4F" w:rsidRDefault="00F60A4F" w:rsidP="00F60A4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A4F">
              <w:rPr>
                <w:rFonts w:ascii="Calibri" w:eastAsia="Times New Roman" w:hAnsi="Calibri" w:cs="Times New Roman"/>
                <w:color w:val="000000"/>
              </w:rPr>
              <w:t>3.322%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4F" w:rsidRPr="00F60A4F" w:rsidRDefault="00F60A4F" w:rsidP="00F60A4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A4F">
              <w:rPr>
                <w:rFonts w:ascii="Calibri" w:eastAsia="Times New Roman" w:hAnsi="Calibri" w:cs="Times New Roman"/>
                <w:color w:val="000000"/>
              </w:rPr>
              <w:t>3.331%</w:t>
            </w:r>
          </w:p>
        </w:tc>
      </w:tr>
      <w:tr w:rsidR="00F60A4F" w:rsidRPr="00F60A4F" w:rsidTr="00F60A4F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4F" w:rsidRPr="00F60A4F" w:rsidRDefault="00F60A4F" w:rsidP="00F60A4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F60A4F">
              <w:rPr>
                <w:rFonts w:ascii="Calibri" w:eastAsia="Times New Roman" w:hAnsi="Calibri" w:cs="Times New Roman"/>
                <w:color w:val="000000"/>
              </w:rPr>
              <w:t>30000-35000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4F" w:rsidRPr="00F60A4F" w:rsidRDefault="00F60A4F" w:rsidP="00F60A4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A4F">
              <w:rPr>
                <w:rFonts w:ascii="Calibri" w:eastAsia="Times New Roman" w:hAnsi="Calibri" w:cs="Times New Roman"/>
                <w:color w:val="000000"/>
              </w:rPr>
              <w:t>61353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4F" w:rsidRPr="00F60A4F" w:rsidRDefault="00F60A4F" w:rsidP="00F60A4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A4F">
              <w:rPr>
                <w:rFonts w:ascii="Calibri" w:eastAsia="Times New Roman" w:hAnsi="Calibri" w:cs="Times New Roman"/>
                <w:color w:val="000000"/>
              </w:rPr>
              <w:t>59830.681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4F" w:rsidRPr="00F60A4F" w:rsidRDefault="00F60A4F" w:rsidP="00F60A4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A4F">
              <w:rPr>
                <w:rFonts w:ascii="Calibri" w:eastAsia="Times New Roman" w:hAnsi="Calibri" w:cs="Times New Roman"/>
                <w:color w:val="000000"/>
              </w:rPr>
              <w:t>1.884%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4F" w:rsidRPr="00F60A4F" w:rsidRDefault="00F60A4F" w:rsidP="00F60A4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A4F">
              <w:rPr>
                <w:rFonts w:ascii="Calibri" w:eastAsia="Times New Roman" w:hAnsi="Calibri" w:cs="Times New Roman"/>
                <w:color w:val="000000"/>
              </w:rPr>
              <w:t>1.842%</w:t>
            </w:r>
          </w:p>
        </w:tc>
      </w:tr>
      <w:tr w:rsidR="00F60A4F" w:rsidRPr="00F60A4F" w:rsidTr="00F60A4F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4F" w:rsidRPr="00F60A4F" w:rsidRDefault="00F60A4F" w:rsidP="00F60A4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F60A4F">
              <w:rPr>
                <w:rFonts w:ascii="Calibri" w:eastAsia="Times New Roman" w:hAnsi="Calibri" w:cs="Times New Roman"/>
                <w:color w:val="000000"/>
              </w:rPr>
              <w:t>35000-40000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4F" w:rsidRPr="00F60A4F" w:rsidRDefault="00F60A4F" w:rsidP="00F60A4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A4F">
              <w:rPr>
                <w:rFonts w:ascii="Calibri" w:eastAsia="Times New Roman" w:hAnsi="Calibri" w:cs="Times New Roman"/>
                <w:color w:val="000000"/>
              </w:rPr>
              <w:t>34562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4F" w:rsidRPr="00F60A4F" w:rsidRDefault="00F60A4F" w:rsidP="00F60A4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A4F">
              <w:rPr>
                <w:rFonts w:ascii="Calibri" w:eastAsia="Times New Roman" w:hAnsi="Calibri" w:cs="Times New Roman"/>
                <w:color w:val="000000"/>
              </w:rPr>
              <w:t>34246.176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4F" w:rsidRPr="00F60A4F" w:rsidRDefault="00F60A4F" w:rsidP="00F60A4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A4F">
              <w:rPr>
                <w:rFonts w:ascii="Calibri" w:eastAsia="Times New Roman" w:hAnsi="Calibri" w:cs="Times New Roman"/>
                <w:color w:val="000000"/>
              </w:rPr>
              <w:t>1.061%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4F" w:rsidRPr="00F60A4F" w:rsidRDefault="00F60A4F" w:rsidP="00F60A4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A4F">
              <w:rPr>
                <w:rFonts w:ascii="Calibri" w:eastAsia="Times New Roman" w:hAnsi="Calibri" w:cs="Times New Roman"/>
                <w:color w:val="000000"/>
              </w:rPr>
              <w:t>1.054%</w:t>
            </w:r>
          </w:p>
        </w:tc>
      </w:tr>
      <w:tr w:rsidR="00F60A4F" w:rsidRPr="00F60A4F" w:rsidTr="00F60A4F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4F" w:rsidRPr="00F60A4F" w:rsidRDefault="00F60A4F" w:rsidP="00F60A4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F60A4F">
              <w:rPr>
                <w:rFonts w:ascii="Calibri" w:eastAsia="Times New Roman" w:hAnsi="Calibri" w:cs="Times New Roman"/>
                <w:color w:val="000000"/>
              </w:rPr>
              <w:t>40000-45000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4F" w:rsidRPr="00F60A4F" w:rsidRDefault="00F60A4F" w:rsidP="00F60A4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A4F">
              <w:rPr>
                <w:rFonts w:ascii="Calibri" w:eastAsia="Times New Roman" w:hAnsi="Calibri" w:cs="Times New Roman"/>
                <w:color w:val="000000"/>
              </w:rPr>
              <w:t>20073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4F" w:rsidRPr="00F60A4F" w:rsidRDefault="00F60A4F" w:rsidP="00F60A4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A4F">
              <w:rPr>
                <w:rFonts w:ascii="Calibri" w:eastAsia="Times New Roman" w:hAnsi="Calibri" w:cs="Times New Roman"/>
                <w:color w:val="000000"/>
              </w:rPr>
              <w:t>19536.646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4F" w:rsidRPr="00F60A4F" w:rsidRDefault="00F60A4F" w:rsidP="00F60A4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A4F">
              <w:rPr>
                <w:rFonts w:ascii="Calibri" w:eastAsia="Times New Roman" w:hAnsi="Calibri" w:cs="Times New Roman"/>
                <w:color w:val="000000"/>
              </w:rPr>
              <w:t>0.616%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4F" w:rsidRPr="00F60A4F" w:rsidRDefault="00F60A4F" w:rsidP="00F60A4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A4F">
              <w:rPr>
                <w:rFonts w:ascii="Calibri" w:eastAsia="Times New Roman" w:hAnsi="Calibri" w:cs="Times New Roman"/>
                <w:color w:val="000000"/>
              </w:rPr>
              <w:t>0.601%</w:t>
            </w:r>
          </w:p>
        </w:tc>
      </w:tr>
      <w:tr w:rsidR="00F60A4F" w:rsidRPr="00F60A4F" w:rsidTr="00F60A4F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4F" w:rsidRPr="00F60A4F" w:rsidRDefault="00F60A4F" w:rsidP="00F60A4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F60A4F">
              <w:rPr>
                <w:rFonts w:ascii="Calibri" w:eastAsia="Times New Roman" w:hAnsi="Calibri" w:cs="Times New Roman"/>
                <w:color w:val="000000"/>
              </w:rPr>
              <w:t>45000-50000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4F" w:rsidRPr="00F60A4F" w:rsidRDefault="00F60A4F" w:rsidP="00F60A4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A4F">
              <w:rPr>
                <w:rFonts w:ascii="Calibri" w:eastAsia="Times New Roman" w:hAnsi="Calibri" w:cs="Times New Roman"/>
                <w:color w:val="000000"/>
              </w:rPr>
              <w:t>11541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4F" w:rsidRPr="00F60A4F" w:rsidRDefault="00F60A4F" w:rsidP="00F60A4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A4F">
              <w:rPr>
                <w:rFonts w:ascii="Calibri" w:eastAsia="Times New Roman" w:hAnsi="Calibri" w:cs="Times New Roman"/>
                <w:color w:val="000000"/>
              </w:rPr>
              <w:t>11499.4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4F" w:rsidRPr="00F60A4F" w:rsidRDefault="00F60A4F" w:rsidP="00F60A4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A4F">
              <w:rPr>
                <w:rFonts w:ascii="Calibri" w:eastAsia="Times New Roman" w:hAnsi="Calibri" w:cs="Times New Roman"/>
                <w:color w:val="000000"/>
              </w:rPr>
              <w:t>0.354%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4F" w:rsidRPr="00F60A4F" w:rsidRDefault="00F60A4F" w:rsidP="00F60A4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A4F">
              <w:rPr>
                <w:rFonts w:ascii="Calibri" w:eastAsia="Times New Roman" w:hAnsi="Calibri" w:cs="Times New Roman"/>
                <w:color w:val="000000"/>
              </w:rPr>
              <w:t>0.354%</w:t>
            </w:r>
          </w:p>
        </w:tc>
      </w:tr>
      <w:tr w:rsidR="00F60A4F" w:rsidRPr="00F60A4F" w:rsidTr="00F60A4F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4F" w:rsidRPr="00F60A4F" w:rsidRDefault="00F60A4F" w:rsidP="00F60A4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F60A4F">
              <w:rPr>
                <w:rFonts w:ascii="Calibri" w:eastAsia="Times New Roman" w:hAnsi="Calibri" w:cs="Times New Roman"/>
                <w:color w:val="000000"/>
              </w:rPr>
              <w:t>50000-55000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4F" w:rsidRPr="00F60A4F" w:rsidRDefault="00F60A4F" w:rsidP="00F60A4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A4F">
              <w:rPr>
                <w:rFonts w:ascii="Calibri" w:eastAsia="Times New Roman" w:hAnsi="Calibri" w:cs="Times New Roman"/>
                <w:color w:val="000000"/>
              </w:rPr>
              <w:t>6817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4F" w:rsidRPr="00F60A4F" w:rsidRDefault="00F60A4F" w:rsidP="00F60A4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A4F">
              <w:rPr>
                <w:rFonts w:ascii="Calibri" w:eastAsia="Times New Roman" w:hAnsi="Calibri" w:cs="Times New Roman"/>
                <w:color w:val="000000"/>
              </w:rPr>
              <w:t>6500.123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4F" w:rsidRPr="00F60A4F" w:rsidRDefault="00F60A4F" w:rsidP="00F60A4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A4F">
              <w:rPr>
                <w:rFonts w:ascii="Calibri" w:eastAsia="Times New Roman" w:hAnsi="Calibri" w:cs="Times New Roman"/>
                <w:color w:val="000000"/>
              </w:rPr>
              <w:t>0.209%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4F" w:rsidRPr="00F60A4F" w:rsidRDefault="00F60A4F" w:rsidP="00F60A4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A4F">
              <w:rPr>
                <w:rFonts w:ascii="Calibri" w:eastAsia="Times New Roman" w:hAnsi="Calibri" w:cs="Times New Roman"/>
                <w:color w:val="000000"/>
              </w:rPr>
              <w:t>0.200%</w:t>
            </w:r>
          </w:p>
        </w:tc>
      </w:tr>
      <w:tr w:rsidR="00F60A4F" w:rsidRPr="00F60A4F" w:rsidTr="00F60A4F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4F" w:rsidRPr="00F60A4F" w:rsidRDefault="00F60A4F" w:rsidP="00F60A4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F60A4F">
              <w:rPr>
                <w:rFonts w:ascii="Calibri" w:eastAsia="Times New Roman" w:hAnsi="Calibri" w:cs="Times New Roman"/>
                <w:color w:val="000000"/>
              </w:rPr>
              <w:t>55000-60000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4F" w:rsidRPr="00F60A4F" w:rsidRDefault="00F60A4F" w:rsidP="00F60A4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A4F">
              <w:rPr>
                <w:rFonts w:ascii="Calibri" w:eastAsia="Times New Roman" w:hAnsi="Calibri" w:cs="Times New Roman"/>
                <w:color w:val="000000"/>
              </w:rPr>
              <w:t>4126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4F" w:rsidRPr="00F60A4F" w:rsidRDefault="00F60A4F" w:rsidP="00F60A4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A4F">
              <w:rPr>
                <w:rFonts w:ascii="Calibri" w:eastAsia="Times New Roman" w:hAnsi="Calibri" w:cs="Times New Roman"/>
                <w:color w:val="000000"/>
              </w:rPr>
              <w:t>3773.296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4F" w:rsidRPr="00F60A4F" w:rsidRDefault="00F60A4F" w:rsidP="00F60A4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A4F">
              <w:rPr>
                <w:rFonts w:ascii="Calibri" w:eastAsia="Times New Roman" w:hAnsi="Calibri" w:cs="Times New Roman"/>
                <w:color w:val="000000"/>
              </w:rPr>
              <w:t>0.127%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4F" w:rsidRPr="00F60A4F" w:rsidRDefault="00F60A4F" w:rsidP="00F60A4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A4F">
              <w:rPr>
                <w:rFonts w:ascii="Calibri" w:eastAsia="Times New Roman" w:hAnsi="Calibri" w:cs="Times New Roman"/>
                <w:color w:val="000000"/>
              </w:rPr>
              <w:t>0.116%</w:t>
            </w:r>
          </w:p>
        </w:tc>
      </w:tr>
      <w:tr w:rsidR="00F60A4F" w:rsidRPr="00F60A4F" w:rsidTr="00F60A4F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4F" w:rsidRPr="00F60A4F" w:rsidRDefault="00F60A4F" w:rsidP="00F60A4F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F60A4F">
              <w:rPr>
                <w:rFonts w:ascii="Calibri" w:eastAsia="Times New Roman" w:hAnsi="Calibri" w:cs="Times New Roman"/>
                <w:color w:val="000000"/>
              </w:rPr>
              <w:t>60000-90000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4F" w:rsidRPr="00F60A4F" w:rsidRDefault="00F60A4F" w:rsidP="00F60A4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A4F">
              <w:rPr>
                <w:rFonts w:ascii="Calibri" w:eastAsia="Times New Roman" w:hAnsi="Calibri" w:cs="Times New Roman"/>
                <w:color w:val="000000"/>
              </w:rPr>
              <w:t>5148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4F" w:rsidRPr="00F60A4F" w:rsidRDefault="00F60A4F" w:rsidP="00F60A4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A4F">
              <w:rPr>
                <w:rFonts w:ascii="Calibri" w:eastAsia="Times New Roman" w:hAnsi="Calibri" w:cs="Times New Roman"/>
                <w:color w:val="000000"/>
              </w:rPr>
              <w:t>4675.254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4F" w:rsidRPr="00F60A4F" w:rsidRDefault="00F60A4F" w:rsidP="00F60A4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A4F">
              <w:rPr>
                <w:rFonts w:ascii="Calibri" w:eastAsia="Times New Roman" w:hAnsi="Calibri" w:cs="Times New Roman"/>
                <w:color w:val="000000"/>
              </w:rPr>
              <w:t>0.158%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4F" w:rsidRPr="00F60A4F" w:rsidRDefault="00F60A4F" w:rsidP="00F60A4F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A4F">
              <w:rPr>
                <w:rFonts w:ascii="Calibri" w:eastAsia="Times New Roman" w:hAnsi="Calibri" w:cs="Times New Roman"/>
                <w:color w:val="000000"/>
              </w:rPr>
              <w:t>0.144%</w:t>
            </w:r>
          </w:p>
        </w:tc>
      </w:tr>
    </w:tbl>
    <w:p w:rsidR="00395B9C" w:rsidRDefault="00160961" w:rsidP="00395B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</w:t>
      </w:r>
      <w:r w:rsidR="00395B9C">
        <w:rPr>
          <w:rFonts w:ascii="Times New Roman" w:hAnsi="Times New Roman"/>
          <w:sz w:val="24"/>
        </w:rPr>
        <w:t>. Rent Burden</w:t>
      </w:r>
    </w:p>
    <w:p w:rsidR="009C74C9" w:rsidRDefault="00395B9C" w:rsidP="00395B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Rent burden is defined as gross rent (including utility costs) divided by monthly adjusted household income. </w:t>
      </w:r>
      <w:r w:rsidR="009C74C9">
        <w:rPr>
          <w:rFonts w:ascii="Times New Roman" w:hAnsi="Times New Roman"/>
          <w:sz w:val="24"/>
        </w:rPr>
        <w:t xml:space="preserve">Rent burden is undefined for households with $0 adjusted income. </w:t>
      </w:r>
    </w:p>
    <w:p w:rsidR="002B488E" w:rsidRDefault="00395B9C" w:rsidP="00395B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Rent burden is measured by character variable “</w:t>
      </w:r>
      <w:proofErr w:type="spellStart"/>
      <w:r>
        <w:rPr>
          <w:rFonts w:ascii="Times New Roman" w:hAnsi="Times New Roman"/>
          <w:sz w:val="24"/>
        </w:rPr>
        <w:t>brdn</w:t>
      </w:r>
      <w:proofErr w:type="spellEnd"/>
      <w:r>
        <w:rPr>
          <w:rFonts w:ascii="Times New Roman" w:hAnsi="Times New Roman"/>
          <w:sz w:val="24"/>
        </w:rPr>
        <w:t xml:space="preserve">”. Rent burden is reported in </w:t>
      </w:r>
      <w:r w:rsidR="009C74C9">
        <w:rPr>
          <w:rFonts w:ascii="Times New Roman" w:hAnsi="Times New Roman"/>
          <w:sz w:val="24"/>
        </w:rPr>
        <w:t>four categories:</w:t>
      </w:r>
      <w:r>
        <w:rPr>
          <w:rFonts w:ascii="Times New Roman" w:hAnsi="Times New Roman"/>
          <w:sz w:val="24"/>
        </w:rPr>
        <w:t xml:space="preserve"> </w:t>
      </w:r>
      <w:r w:rsidR="009C74C9">
        <w:rPr>
          <w:rFonts w:ascii="Times New Roman" w:hAnsi="Times New Roman"/>
          <w:sz w:val="24"/>
        </w:rPr>
        <w:t>0%-31%, 32%-39%, 40%-</w:t>
      </w:r>
      <w:r w:rsidR="00160961">
        <w:rPr>
          <w:rFonts w:ascii="Times New Roman" w:hAnsi="Times New Roman"/>
          <w:sz w:val="24"/>
        </w:rPr>
        <w:t>49%, and 50% and above. Table 14</w:t>
      </w:r>
      <w:r>
        <w:rPr>
          <w:rFonts w:ascii="Times New Roman" w:hAnsi="Times New Roman"/>
          <w:sz w:val="24"/>
        </w:rPr>
        <w:t xml:space="preserve"> reports population and weighted sample frequencies.</w:t>
      </w:r>
    </w:p>
    <w:p w:rsidR="00AB6AE1" w:rsidRDefault="00AB6AE1" w:rsidP="00395B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Table 1</w:t>
      </w:r>
      <w:r w:rsidR="00EA10A6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: Rent Burden Frequencies</w:t>
      </w:r>
    </w:p>
    <w:tbl>
      <w:tblPr>
        <w:tblW w:w="6220" w:type="dxa"/>
        <w:tblInd w:w="93" w:type="dxa"/>
        <w:tblLook w:val="04A0"/>
      </w:tblPr>
      <w:tblGrid>
        <w:gridCol w:w="1520"/>
        <w:gridCol w:w="1189"/>
        <w:gridCol w:w="1164"/>
        <w:gridCol w:w="1240"/>
        <w:gridCol w:w="1260"/>
      </w:tblGrid>
      <w:tr w:rsidR="00A76D4C" w:rsidRPr="00A76D4C" w:rsidTr="00A76D4C">
        <w:trPr>
          <w:trHeight w:val="9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6D4C" w:rsidRPr="00A76D4C" w:rsidRDefault="00A76D4C" w:rsidP="00A76D4C">
            <w:pPr>
              <w:spacing w:before="0"/>
              <w:rPr>
                <w:rFonts w:ascii="Calibri" w:eastAsia="Times New Roman" w:hAnsi="Calibri" w:cs="Times New Roman"/>
                <w:color w:val="FFFFFF"/>
              </w:rPr>
            </w:pPr>
            <w:r w:rsidRPr="00A76D4C">
              <w:rPr>
                <w:rFonts w:ascii="Calibri" w:eastAsia="Times New Roman" w:hAnsi="Calibri" w:cs="Times New Roman"/>
                <w:color w:val="FFFFFF"/>
              </w:rPr>
              <w:t>Rent Burden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A76D4C" w:rsidRPr="00A76D4C" w:rsidRDefault="00A76D4C" w:rsidP="00A76D4C">
            <w:pPr>
              <w:spacing w:before="0"/>
              <w:jc w:val="right"/>
              <w:rPr>
                <w:rFonts w:ascii="Calibri" w:eastAsia="Times New Roman" w:hAnsi="Calibri" w:cs="Times New Roman"/>
                <w:color w:val="FFFFFF"/>
              </w:rPr>
            </w:pPr>
            <w:r w:rsidRPr="00A76D4C">
              <w:rPr>
                <w:rFonts w:ascii="Calibri" w:eastAsia="Times New Roman" w:hAnsi="Calibri" w:cs="Times New Roman"/>
                <w:color w:val="FFFFFF"/>
              </w:rPr>
              <w:t>Population count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A76D4C" w:rsidRPr="00A76D4C" w:rsidRDefault="00A76D4C" w:rsidP="00A76D4C">
            <w:pPr>
              <w:spacing w:before="0"/>
              <w:jc w:val="right"/>
              <w:rPr>
                <w:rFonts w:ascii="Calibri" w:eastAsia="Times New Roman" w:hAnsi="Calibri" w:cs="Times New Roman"/>
                <w:color w:val="FFFFFF"/>
              </w:rPr>
            </w:pPr>
            <w:r w:rsidRPr="00A76D4C">
              <w:rPr>
                <w:rFonts w:ascii="Calibri" w:eastAsia="Times New Roman" w:hAnsi="Calibri" w:cs="Times New Roman"/>
                <w:color w:val="FFFFFF"/>
              </w:rPr>
              <w:t>Weighted sample count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A76D4C" w:rsidRPr="00A76D4C" w:rsidRDefault="00A76D4C" w:rsidP="00A76D4C">
            <w:pPr>
              <w:spacing w:before="0"/>
              <w:jc w:val="right"/>
              <w:rPr>
                <w:rFonts w:ascii="Calibri" w:eastAsia="Times New Roman" w:hAnsi="Calibri" w:cs="Times New Roman"/>
                <w:color w:val="FFFFFF"/>
              </w:rPr>
            </w:pPr>
            <w:r w:rsidRPr="00A76D4C">
              <w:rPr>
                <w:rFonts w:ascii="Calibri" w:eastAsia="Times New Roman" w:hAnsi="Calibri" w:cs="Times New Roman"/>
                <w:color w:val="FFFFFF"/>
              </w:rPr>
              <w:t>Population percentage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A76D4C" w:rsidRPr="00A76D4C" w:rsidRDefault="00A76D4C" w:rsidP="00A76D4C">
            <w:pPr>
              <w:spacing w:before="0"/>
              <w:jc w:val="right"/>
              <w:rPr>
                <w:rFonts w:ascii="Calibri" w:eastAsia="Times New Roman" w:hAnsi="Calibri" w:cs="Times New Roman"/>
                <w:color w:val="FFFFFF"/>
              </w:rPr>
            </w:pPr>
            <w:r w:rsidRPr="00A76D4C">
              <w:rPr>
                <w:rFonts w:ascii="Calibri" w:eastAsia="Times New Roman" w:hAnsi="Calibri" w:cs="Times New Roman"/>
                <w:color w:val="FFFFFF"/>
              </w:rPr>
              <w:t>Weighted sample percentage</w:t>
            </w:r>
          </w:p>
        </w:tc>
      </w:tr>
      <w:tr w:rsidR="00A76D4C" w:rsidRPr="00A76D4C" w:rsidTr="00A76D4C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C" w:rsidRPr="00A76D4C" w:rsidRDefault="00A76D4C" w:rsidP="00A76D4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A76D4C">
              <w:rPr>
                <w:rFonts w:ascii="Calibri" w:eastAsia="Times New Roman" w:hAnsi="Calibri" w:cs="Times New Roman"/>
                <w:color w:val="000000"/>
              </w:rPr>
              <w:t>Missing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C" w:rsidRPr="00A76D4C" w:rsidRDefault="00A76D4C" w:rsidP="00A76D4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6D4C">
              <w:rPr>
                <w:rFonts w:ascii="Calibri" w:eastAsia="Times New Roman" w:hAnsi="Calibri" w:cs="Times New Roman"/>
                <w:color w:val="000000"/>
              </w:rPr>
              <w:t>326348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C" w:rsidRPr="00A76D4C" w:rsidRDefault="00A76D4C" w:rsidP="00A76D4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6D4C">
              <w:rPr>
                <w:rFonts w:ascii="Calibri" w:eastAsia="Times New Roman" w:hAnsi="Calibri" w:cs="Times New Roman"/>
                <w:color w:val="000000"/>
              </w:rPr>
              <w:t>324137.41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C" w:rsidRPr="00A76D4C" w:rsidRDefault="00A76D4C" w:rsidP="00A76D4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6D4C">
              <w:rPr>
                <w:rFonts w:ascii="Calibri" w:eastAsia="Times New Roman" w:hAnsi="Calibri" w:cs="Times New Roman"/>
                <w:color w:val="000000"/>
              </w:rPr>
              <w:t>10.021%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C" w:rsidRPr="00A76D4C" w:rsidRDefault="00A76D4C" w:rsidP="00A76D4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6D4C">
              <w:rPr>
                <w:rFonts w:ascii="Calibri" w:eastAsia="Times New Roman" w:hAnsi="Calibri" w:cs="Times New Roman"/>
                <w:color w:val="000000"/>
              </w:rPr>
              <w:t>9.978%</w:t>
            </w:r>
          </w:p>
        </w:tc>
      </w:tr>
      <w:tr w:rsidR="00A76D4C" w:rsidRPr="00A76D4C" w:rsidTr="00A76D4C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C" w:rsidRPr="00A76D4C" w:rsidRDefault="00A76D4C" w:rsidP="00A76D4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A76D4C">
              <w:rPr>
                <w:rFonts w:ascii="Calibri" w:eastAsia="Times New Roman" w:hAnsi="Calibri" w:cs="Times New Roman"/>
                <w:color w:val="000000"/>
              </w:rPr>
              <w:t>0 -31%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C" w:rsidRPr="00A76D4C" w:rsidRDefault="00A76D4C" w:rsidP="00A76D4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6D4C">
              <w:rPr>
                <w:rFonts w:ascii="Calibri" w:eastAsia="Times New Roman" w:hAnsi="Calibri" w:cs="Times New Roman"/>
                <w:color w:val="000000"/>
              </w:rPr>
              <w:t>2229649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C" w:rsidRPr="00A76D4C" w:rsidRDefault="00A76D4C" w:rsidP="00A76D4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6D4C">
              <w:rPr>
                <w:rFonts w:ascii="Calibri" w:eastAsia="Times New Roman" w:hAnsi="Calibri" w:cs="Times New Roman"/>
                <w:color w:val="000000"/>
              </w:rPr>
              <w:t>2224800.8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C" w:rsidRPr="00A76D4C" w:rsidRDefault="00A76D4C" w:rsidP="00A76D4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6D4C">
              <w:rPr>
                <w:rFonts w:ascii="Calibri" w:eastAsia="Times New Roman" w:hAnsi="Calibri" w:cs="Times New Roman"/>
                <w:color w:val="000000"/>
              </w:rPr>
              <w:t>68.466%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C" w:rsidRPr="00A76D4C" w:rsidRDefault="00A76D4C" w:rsidP="00A76D4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6D4C">
              <w:rPr>
                <w:rFonts w:ascii="Calibri" w:eastAsia="Times New Roman" w:hAnsi="Calibri" w:cs="Times New Roman"/>
                <w:color w:val="000000"/>
              </w:rPr>
              <w:t>68.484%</w:t>
            </w:r>
          </w:p>
        </w:tc>
      </w:tr>
      <w:tr w:rsidR="00A76D4C" w:rsidRPr="00A76D4C" w:rsidTr="00A76D4C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C" w:rsidRPr="00A76D4C" w:rsidRDefault="00A76D4C" w:rsidP="00A76D4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A76D4C">
              <w:rPr>
                <w:rFonts w:ascii="Calibri" w:eastAsia="Times New Roman" w:hAnsi="Calibri" w:cs="Times New Roman"/>
                <w:color w:val="000000"/>
              </w:rPr>
              <w:t>32% - 39%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C" w:rsidRPr="00A76D4C" w:rsidRDefault="00A76D4C" w:rsidP="00A76D4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6D4C">
              <w:rPr>
                <w:rFonts w:ascii="Calibri" w:eastAsia="Times New Roman" w:hAnsi="Calibri" w:cs="Times New Roman"/>
                <w:color w:val="000000"/>
              </w:rPr>
              <w:t>390047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C" w:rsidRPr="00A76D4C" w:rsidRDefault="00A76D4C" w:rsidP="00A76D4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6D4C">
              <w:rPr>
                <w:rFonts w:ascii="Calibri" w:eastAsia="Times New Roman" w:hAnsi="Calibri" w:cs="Times New Roman"/>
                <w:color w:val="000000"/>
              </w:rPr>
              <w:t>386676.59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C" w:rsidRPr="00A76D4C" w:rsidRDefault="00A76D4C" w:rsidP="00A76D4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6D4C">
              <w:rPr>
                <w:rFonts w:ascii="Calibri" w:eastAsia="Times New Roman" w:hAnsi="Calibri" w:cs="Times New Roman"/>
                <w:color w:val="000000"/>
              </w:rPr>
              <w:t>11.977%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C" w:rsidRPr="00A76D4C" w:rsidRDefault="00A76D4C" w:rsidP="00A76D4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6D4C">
              <w:rPr>
                <w:rFonts w:ascii="Calibri" w:eastAsia="Times New Roman" w:hAnsi="Calibri" w:cs="Times New Roman"/>
                <w:color w:val="000000"/>
              </w:rPr>
              <w:t>11.903%</w:t>
            </w:r>
          </w:p>
        </w:tc>
      </w:tr>
      <w:tr w:rsidR="00A76D4C" w:rsidRPr="00A76D4C" w:rsidTr="00A76D4C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C" w:rsidRPr="00A76D4C" w:rsidRDefault="00A76D4C" w:rsidP="00A76D4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A76D4C">
              <w:rPr>
                <w:rFonts w:ascii="Calibri" w:eastAsia="Times New Roman" w:hAnsi="Calibri" w:cs="Times New Roman"/>
                <w:color w:val="000000"/>
              </w:rPr>
              <w:t>40% - 49%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C" w:rsidRPr="00A76D4C" w:rsidRDefault="00A76D4C" w:rsidP="00A76D4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6D4C">
              <w:rPr>
                <w:rFonts w:ascii="Calibri" w:eastAsia="Times New Roman" w:hAnsi="Calibri" w:cs="Times New Roman"/>
                <w:color w:val="000000"/>
              </w:rPr>
              <w:t>182753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C" w:rsidRPr="00A76D4C" w:rsidRDefault="00A76D4C" w:rsidP="00A76D4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6D4C">
              <w:rPr>
                <w:rFonts w:ascii="Calibri" w:eastAsia="Times New Roman" w:hAnsi="Calibri" w:cs="Times New Roman"/>
                <w:color w:val="000000"/>
              </w:rPr>
              <w:t>185175.3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C" w:rsidRPr="00A76D4C" w:rsidRDefault="00A76D4C" w:rsidP="00A76D4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6D4C">
              <w:rPr>
                <w:rFonts w:ascii="Calibri" w:eastAsia="Times New Roman" w:hAnsi="Calibri" w:cs="Times New Roman"/>
                <w:color w:val="000000"/>
              </w:rPr>
              <w:t>5.612%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C" w:rsidRPr="00A76D4C" w:rsidRDefault="00A76D4C" w:rsidP="00A76D4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6D4C">
              <w:rPr>
                <w:rFonts w:ascii="Calibri" w:eastAsia="Times New Roman" w:hAnsi="Calibri" w:cs="Times New Roman"/>
                <w:color w:val="000000"/>
              </w:rPr>
              <w:t>5.700%</w:t>
            </w:r>
          </w:p>
        </w:tc>
      </w:tr>
      <w:tr w:rsidR="00A76D4C" w:rsidRPr="00A76D4C" w:rsidTr="00A76D4C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C" w:rsidRPr="00A76D4C" w:rsidRDefault="00A76D4C" w:rsidP="00A76D4C">
            <w:pPr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 w:rsidRPr="00A76D4C">
              <w:rPr>
                <w:rFonts w:ascii="Calibri" w:eastAsia="Times New Roman" w:hAnsi="Calibri" w:cs="Times New Roman"/>
                <w:color w:val="000000"/>
              </w:rPr>
              <w:t>50% &amp; Above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C" w:rsidRPr="00A76D4C" w:rsidRDefault="00A76D4C" w:rsidP="00A76D4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6D4C">
              <w:rPr>
                <w:rFonts w:ascii="Calibri" w:eastAsia="Times New Roman" w:hAnsi="Calibri" w:cs="Times New Roman"/>
                <w:color w:val="000000"/>
              </w:rPr>
              <w:t>127771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C" w:rsidRPr="00A76D4C" w:rsidRDefault="00A76D4C" w:rsidP="00A76D4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6D4C">
              <w:rPr>
                <w:rFonts w:ascii="Calibri" w:eastAsia="Times New Roman" w:hAnsi="Calibri" w:cs="Times New Roman"/>
                <w:color w:val="000000"/>
              </w:rPr>
              <w:t>127856.95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C" w:rsidRPr="00A76D4C" w:rsidRDefault="00A76D4C" w:rsidP="00A76D4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6D4C">
              <w:rPr>
                <w:rFonts w:ascii="Calibri" w:eastAsia="Times New Roman" w:hAnsi="Calibri" w:cs="Times New Roman"/>
                <w:color w:val="000000"/>
              </w:rPr>
              <w:t>3.923%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C" w:rsidRPr="00A76D4C" w:rsidRDefault="00A76D4C" w:rsidP="00A76D4C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6D4C">
              <w:rPr>
                <w:rFonts w:ascii="Calibri" w:eastAsia="Times New Roman" w:hAnsi="Calibri" w:cs="Times New Roman"/>
                <w:color w:val="000000"/>
              </w:rPr>
              <w:t>3.936%</w:t>
            </w:r>
          </w:p>
        </w:tc>
      </w:tr>
    </w:tbl>
    <w:p w:rsidR="00A76D4C" w:rsidRDefault="00A76D4C" w:rsidP="00CF7EE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 Survey Weight</w:t>
      </w:r>
    </w:p>
    <w:p w:rsidR="00CF7EED" w:rsidRDefault="00CF7EED" w:rsidP="00CF7EED">
      <w:pPr>
        <w:rPr>
          <w:rFonts w:ascii="Times New Roman" w:hAnsi="Times New Roman"/>
          <w:sz w:val="24"/>
        </w:rPr>
      </w:pPr>
      <w:r w:rsidRPr="00967FA9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survey weight is measured by variable “weight”, which is the inverse of the sampling probability. The </w:t>
      </w:r>
      <w:r w:rsidRPr="00967FA9">
        <w:rPr>
          <w:rFonts w:ascii="Times New Roman" w:hAnsi="Times New Roman"/>
          <w:sz w:val="24"/>
        </w:rPr>
        <w:t>weight is the same for</w:t>
      </w:r>
      <w:r>
        <w:rPr>
          <w:rFonts w:ascii="Times New Roman" w:hAnsi="Times New Roman"/>
          <w:sz w:val="24"/>
        </w:rPr>
        <w:t xml:space="preserve"> all households in a given strata.</w:t>
      </w:r>
      <w:r w:rsidR="00FB6F03">
        <w:rPr>
          <w:rFonts w:ascii="Times New Roman" w:hAnsi="Times New Roman"/>
          <w:sz w:val="24"/>
        </w:rPr>
        <w:t xml:space="preserve"> </w:t>
      </w:r>
    </w:p>
    <w:p w:rsidR="002F2CDC" w:rsidRDefault="002F2CDC" w:rsidP="00EA72F4">
      <w:pPr>
        <w:rPr>
          <w:rFonts w:ascii="Times New Roman" w:hAnsi="Times New Roman"/>
          <w:sz w:val="24"/>
        </w:rPr>
      </w:pPr>
    </w:p>
    <w:p w:rsidR="00EA72F4" w:rsidRDefault="00EA72F4" w:rsidP="00D01637">
      <w:pPr>
        <w:rPr>
          <w:rFonts w:ascii="Times New Roman" w:hAnsi="Times New Roman"/>
          <w:sz w:val="24"/>
        </w:rPr>
      </w:pPr>
    </w:p>
    <w:p w:rsidR="007116D3" w:rsidRDefault="007116D3" w:rsidP="00A91FA3">
      <w:pPr>
        <w:rPr>
          <w:rFonts w:ascii="Times New Roman" w:hAnsi="Times New Roman"/>
          <w:sz w:val="24"/>
        </w:rPr>
      </w:pPr>
    </w:p>
    <w:p w:rsidR="00A91FA3" w:rsidRDefault="00A91FA3" w:rsidP="00A91FA3">
      <w:pPr>
        <w:rPr>
          <w:rFonts w:ascii="Times New Roman" w:hAnsi="Times New Roman"/>
          <w:sz w:val="24"/>
        </w:rPr>
      </w:pPr>
    </w:p>
    <w:p w:rsidR="00467C5F" w:rsidRDefault="00467C5F" w:rsidP="0041330E">
      <w:pPr>
        <w:rPr>
          <w:rFonts w:ascii="Times New Roman" w:hAnsi="Times New Roman"/>
          <w:sz w:val="24"/>
        </w:rPr>
      </w:pPr>
    </w:p>
    <w:p w:rsidR="009C2E5E" w:rsidRDefault="009C2E5E" w:rsidP="009166C8">
      <w:pPr>
        <w:rPr>
          <w:rFonts w:ascii="Times New Roman" w:hAnsi="Times New Roman"/>
          <w:sz w:val="24"/>
        </w:rPr>
      </w:pPr>
    </w:p>
    <w:p w:rsidR="00304ECA" w:rsidRDefault="00304ECA" w:rsidP="00304ECA">
      <w:pPr>
        <w:rPr>
          <w:rFonts w:ascii="Times New Roman" w:hAnsi="Times New Roman"/>
          <w:sz w:val="24"/>
        </w:rPr>
      </w:pPr>
    </w:p>
    <w:p w:rsidR="00304ECA" w:rsidRDefault="00304ECA" w:rsidP="007B7180">
      <w:pPr>
        <w:rPr>
          <w:rFonts w:ascii="Times New Roman" w:hAnsi="Times New Roman"/>
          <w:sz w:val="24"/>
        </w:rPr>
      </w:pPr>
    </w:p>
    <w:p w:rsidR="00F36957" w:rsidRDefault="00F36957" w:rsidP="007B7180">
      <w:pPr>
        <w:rPr>
          <w:rFonts w:ascii="Times New Roman" w:hAnsi="Times New Roman"/>
          <w:sz w:val="24"/>
        </w:rPr>
      </w:pPr>
    </w:p>
    <w:p w:rsidR="005A4A2C" w:rsidRDefault="00F36957" w:rsidP="007B718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5A4A2C" w:rsidRDefault="005A4A2C" w:rsidP="007B7180">
      <w:pPr>
        <w:rPr>
          <w:rFonts w:ascii="Times New Roman" w:hAnsi="Times New Roman"/>
          <w:sz w:val="24"/>
        </w:rPr>
      </w:pPr>
    </w:p>
    <w:p w:rsidR="00FC6A86" w:rsidRDefault="00FC6A86" w:rsidP="007B7180">
      <w:pPr>
        <w:rPr>
          <w:rFonts w:ascii="Times New Roman" w:hAnsi="Times New Roman"/>
          <w:sz w:val="24"/>
        </w:rPr>
      </w:pPr>
    </w:p>
    <w:p w:rsidR="002D2E65" w:rsidRDefault="002D2E65" w:rsidP="007B7180">
      <w:pPr>
        <w:rPr>
          <w:rFonts w:ascii="Times New Roman" w:hAnsi="Times New Roman"/>
          <w:sz w:val="24"/>
        </w:rPr>
      </w:pPr>
    </w:p>
    <w:p w:rsidR="00B56D4D" w:rsidRDefault="00B56D4D" w:rsidP="007B7180">
      <w:pPr>
        <w:rPr>
          <w:rFonts w:ascii="Times New Roman" w:hAnsi="Times New Roman"/>
          <w:sz w:val="24"/>
        </w:rPr>
      </w:pPr>
    </w:p>
    <w:p w:rsidR="00AE0997" w:rsidRPr="00AF2A6C" w:rsidRDefault="00AE0997" w:rsidP="007B7180">
      <w:pPr>
        <w:rPr>
          <w:rFonts w:ascii="Times New Roman" w:hAnsi="Times New Roman"/>
          <w:sz w:val="24"/>
        </w:rPr>
      </w:pPr>
    </w:p>
    <w:sectPr w:rsidR="00AE0997" w:rsidRPr="00AF2A6C" w:rsidSect="00530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742" w:rsidRDefault="00112742" w:rsidP="00876E91">
      <w:pPr>
        <w:spacing w:before="0"/>
      </w:pPr>
      <w:r>
        <w:separator/>
      </w:r>
    </w:p>
  </w:endnote>
  <w:endnote w:type="continuationSeparator" w:id="0">
    <w:p w:rsidR="00112742" w:rsidRDefault="00112742" w:rsidP="00876E91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742" w:rsidRDefault="00112742" w:rsidP="00876E91">
      <w:pPr>
        <w:spacing w:before="0"/>
      </w:pPr>
      <w:r>
        <w:separator/>
      </w:r>
    </w:p>
  </w:footnote>
  <w:footnote w:type="continuationSeparator" w:id="0">
    <w:p w:rsidR="00112742" w:rsidRDefault="00112742" w:rsidP="00876E91">
      <w:pPr>
        <w:spacing w:before="0"/>
      </w:pPr>
      <w:r>
        <w:continuationSeparator/>
      </w:r>
    </w:p>
  </w:footnote>
  <w:footnote w:id="1">
    <w:p w:rsidR="00F5685B" w:rsidRDefault="00F5685B" w:rsidP="00F5685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2663C">
        <w:t>http://portal.hud.gov/hudportal/HUD?src=/program_offices/public_indian_housing/systems/pic/about</w:t>
      </w:r>
    </w:p>
  </w:footnote>
  <w:footnote w:id="2">
    <w:p w:rsidR="00112742" w:rsidRDefault="0011274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2663C">
        <w:t>http://portal.hud.gov/hudportal/HUD?src=/program_offices/public_indian_housing/programs/ph/mtw</w:t>
      </w:r>
    </w:p>
  </w:footnote>
  <w:footnote w:id="3">
    <w:p w:rsidR="00112742" w:rsidRDefault="00112742">
      <w:pPr>
        <w:pStyle w:val="FootnoteText"/>
      </w:pPr>
      <w:r>
        <w:rPr>
          <w:rStyle w:val="FootnoteReference"/>
        </w:rPr>
        <w:footnoteRef/>
      </w:r>
      <w:r>
        <w:t xml:space="preserve"> See </w:t>
      </w:r>
      <w:proofErr w:type="spellStart"/>
      <w:r>
        <w:t>Lohr</w:t>
      </w:r>
      <w:proofErr w:type="spellEnd"/>
      <w:r>
        <w:t xml:space="preserve">, </w:t>
      </w:r>
      <w:r w:rsidRPr="00F55F20">
        <w:rPr>
          <w:i/>
        </w:rPr>
        <w:t xml:space="preserve">Sampling Design and </w:t>
      </w:r>
      <w:proofErr w:type="gramStart"/>
      <w:r w:rsidRPr="00F55F20">
        <w:rPr>
          <w:i/>
        </w:rPr>
        <w:t>Analysis</w:t>
      </w:r>
      <w:r>
        <w:t xml:space="preserve"> ,</w:t>
      </w:r>
      <w:proofErr w:type="gramEnd"/>
      <w:r>
        <w:t xml:space="preserve"> Duxbury Press 1999, p. 108.</w:t>
      </w:r>
    </w:p>
  </w:footnote>
  <w:footnote w:id="4">
    <w:p w:rsidR="00112742" w:rsidRDefault="00112742" w:rsidP="00876E9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642E3">
        <w:t>http://portal.hud.gov/hudportal/HUD?src=/program_offices/public_indian_housing/systems/pic/50058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7B7180"/>
    <w:rsid w:val="000069F0"/>
    <w:rsid w:val="00015648"/>
    <w:rsid w:val="000278DF"/>
    <w:rsid w:val="000564BD"/>
    <w:rsid w:val="00070FFA"/>
    <w:rsid w:val="00073C32"/>
    <w:rsid w:val="00085E85"/>
    <w:rsid w:val="000D198D"/>
    <w:rsid w:val="000D20E6"/>
    <w:rsid w:val="001077A9"/>
    <w:rsid w:val="00112742"/>
    <w:rsid w:val="0011363A"/>
    <w:rsid w:val="00160961"/>
    <w:rsid w:val="001668A0"/>
    <w:rsid w:val="00195DD5"/>
    <w:rsid w:val="00196214"/>
    <w:rsid w:val="001C16C1"/>
    <w:rsid w:val="001E0D45"/>
    <w:rsid w:val="001E6B45"/>
    <w:rsid w:val="002251CD"/>
    <w:rsid w:val="002401E4"/>
    <w:rsid w:val="00253D5E"/>
    <w:rsid w:val="002A5C35"/>
    <w:rsid w:val="002B1D46"/>
    <w:rsid w:val="002B488E"/>
    <w:rsid w:val="002C2416"/>
    <w:rsid w:val="002D2E65"/>
    <w:rsid w:val="002F2CDC"/>
    <w:rsid w:val="002F6A8B"/>
    <w:rsid w:val="0030496F"/>
    <w:rsid w:val="00304ECA"/>
    <w:rsid w:val="00312B44"/>
    <w:rsid w:val="0032220C"/>
    <w:rsid w:val="00333DAA"/>
    <w:rsid w:val="00337BA9"/>
    <w:rsid w:val="00344D15"/>
    <w:rsid w:val="00355386"/>
    <w:rsid w:val="0038011B"/>
    <w:rsid w:val="00380BED"/>
    <w:rsid w:val="00390C4C"/>
    <w:rsid w:val="00395B9C"/>
    <w:rsid w:val="003C1740"/>
    <w:rsid w:val="003C2211"/>
    <w:rsid w:val="00410804"/>
    <w:rsid w:val="0041330E"/>
    <w:rsid w:val="0041697B"/>
    <w:rsid w:val="00420CCD"/>
    <w:rsid w:val="00435F3D"/>
    <w:rsid w:val="004402E4"/>
    <w:rsid w:val="00463299"/>
    <w:rsid w:val="004642E3"/>
    <w:rsid w:val="00467185"/>
    <w:rsid w:val="00467C5F"/>
    <w:rsid w:val="00472078"/>
    <w:rsid w:val="005051F3"/>
    <w:rsid w:val="005163EB"/>
    <w:rsid w:val="005172D4"/>
    <w:rsid w:val="005259EE"/>
    <w:rsid w:val="00530998"/>
    <w:rsid w:val="005365BD"/>
    <w:rsid w:val="005A084B"/>
    <w:rsid w:val="005A4A2C"/>
    <w:rsid w:val="005A53E7"/>
    <w:rsid w:val="005B38B8"/>
    <w:rsid w:val="005C461D"/>
    <w:rsid w:val="006154C3"/>
    <w:rsid w:val="006773ED"/>
    <w:rsid w:val="00680170"/>
    <w:rsid w:val="00692D83"/>
    <w:rsid w:val="0069549B"/>
    <w:rsid w:val="006B3A30"/>
    <w:rsid w:val="006C5328"/>
    <w:rsid w:val="006F3E71"/>
    <w:rsid w:val="007111A5"/>
    <w:rsid w:val="007116D3"/>
    <w:rsid w:val="00784499"/>
    <w:rsid w:val="00786EE6"/>
    <w:rsid w:val="007B7180"/>
    <w:rsid w:val="007C1550"/>
    <w:rsid w:val="007C7FC8"/>
    <w:rsid w:val="007D24ED"/>
    <w:rsid w:val="007D44B0"/>
    <w:rsid w:val="007F3905"/>
    <w:rsid w:val="00823751"/>
    <w:rsid w:val="0082663C"/>
    <w:rsid w:val="008360C5"/>
    <w:rsid w:val="008515F0"/>
    <w:rsid w:val="00865CF6"/>
    <w:rsid w:val="00876E91"/>
    <w:rsid w:val="008773E6"/>
    <w:rsid w:val="008B0871"/>
    <w:rsid w:val="008B24C1"/>
    <w:rsid w:val="009031AE"/>
    <w:rsid w:val="0090679B"/>
    <w:rsid w:val="009166C8"/>
    <w:rsid w:val="009327BA"/>
    <w:rsid w:val="00950675"/>
    <w:rsid w:val="00951B63"/>
    <w:rsid w:val="00955C35"/>
    <w:rsid w:val="00982098"/>
    <w:rsid w:val="0099697F"/>
    <w:rsid w:val="009A016A"/>
    <w:rsid w:val="009C2E5E"/>
    <w:rsid w:val="009C74C9"/>
    <w:rsid w:val="009D1D3A"/>
    <w:rsid w:val="00A2261B"/>
    <w:rsid w:val="00A36E74"/>
    <w:rsid w:val="00A6304A"/>
    <w:rsid w:val="00A6727B"/>
    <w:rsid w:val="00A76D4C"/>
    <w:rsid w:val="00A808E6"/>
    <w:rsid w:val="00A81A39"/>
    <w:rsid w:val="00A91FA3"/>
    <w:rsid w:val="00AA342B"/>
    <w:rsid w:val="00AB6AE1"/>
    <w:rsid w:val="00AE0997"/>
    <w:rsid w:val="00AE3BF1"/>
    <w:rsid w:val="00AF2A6C"/>
    <w:rsid w:val="00B05683"/>
    <w:rsid w:val="00B06EF5"/>
    <w:rsid w:val="00B207EE"/>
    <w:rsid w:val="00B208A8"/>
    <w:rsid w:val="00B27009"/>
    <w:rsid w:val="00B56D4D"/>
    <w:rsid w:val="00B61D4A"/>
    <w:rsid w:val="00B62123"/>
    <w:rsid w:val="00B832AF"/>
    <w:rsid w:val="00B83A39"/>
    <w:rsid w:val="00B903AB"/>
    <w:rsid w:val="00BA08E6"/>
    <w:rsid w:val="00BC5812"/>
    <w:rsid w:val="00BE4A22"/>
    <w:rsid w:val="00BF360D"/>
    <w:rsid w:val="00BF7428"/>
    <w:rsid w:val="00BF7A9B"/>
    <w:rsid w:val="00C118AA"/>
    <w:rsid w:val="00C17BA3"/>
    <w:rsid w:val="00C223CF"/>
    <w:rsid w:val="00C236E5"/>
    <w:rsid w:val="00C36933"/>
    <w:rsid w:val="00C64E48"/>
    <w:rsid w:val="00C72AAA"/>
    <w:rsid w:val="00C92B92"/>
    <w:rsid w:val="00C95298"/>
    <w:rsid w:val="00CA510A"/>
    <w:rsid w:val="00CB143A"/>
    <w:rsid w:val="00CB6689"/>
    <w:rsid w:val="00CB73C8"/>
    <w:rsid w:val="00CF253A"/>
    <w:rsid w:val="00CF7EED"/>
    <w:rsid w:val="00D01637"/>
    <w:rsid w:val="00D16C59"/>
    <w:rsid w:val="00D27BFC"/>
    <w:rsid w:val="00D36B55"/>
    <w:rsid w:val="00D43F58"/>
    <w:rsid w:val="00D47519"/>
    <w:rsid w:val="00D6058D"/>
    <w:rsid w:val="00D67676"/>
    <w:rsid w:val="00D71C79"/>
    <w:rsid w:val="00D91E24"/>
    <w:rsid w:val="00D97849"/>
    <w:rsid w:val="00DA2AB2"/>
    <w:rsid w:val="00DB0C70"/>
    <w:rsid w:val="00DD7378"/>
    <w:rsid w:val="00DE637B"/>
    <w:rsid w:val="00E12035"/>
    <w:rsid w:val="00E40F09"/>
    <w:rsid w:val="00E61EAD"/>
    <w:rsid w:val="00E7655C"/>
    <w:rsid w:val="00E830B5"/>
    <w:rsid w:val="00E933B7"/>
    <w:rsid w:val="00E94AA5"/>
    <w:rsid w:val="00EA10A6"/>
    <w:rsid w:val="00EA54DE"/>
    <w:rsid w:val="00EA72F4"/>
    <w:rsid w:val="00EC54E3"/>
    <w:rsid w:val="00ED217E"/>
    <w:rsid w:val="00F23F5D"/>
    <w:rsid w:val="00F36957"/>
    <w:rsid w:val="00F55F20"/>
    <w:rsid w:val="00F5685B"/>
    <w:rsid w:val="00F6049C"/>
    <w:rsid w:val="00F60A4F"/>
    <w:rsid w:val="00F63294"/>
    <w:rsid w:val="00F84FA2"/>
    <w:rsid w:val="00FA296B"/>
    <w:rsid w:val="00FB6F03"/>
    <w:rsid w:val="00FC6A86"/>
    <w:rsid w:val="00FE3467"/>
    <w:rsid w:val="00FE6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76E91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6E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6E9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76E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D23F1-A71F-41C5-B61F-37A958BC1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13</Pages>
  <Words>2869</Words>
  <Characters>16357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Urban Development</Company>
  <LinksUpToDate>false</LinksUpToDate>
  <CharactersWithSpaces>19188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h21271</dc:creator>
  <cp:keywords/>
  <dc:description/>
  <cp:lastModifiedBy>h21271</cp:lastModifiedBy>
  <cp:revision>31</cp:revision>
  <dcterms:created xsi:type="dcterms:W3CDTF">2011-08-03T18:17:00Z</dcterms:created>
  <dcterms:modified xsi:type="dcterms:W3CDTF">2011-10-03T20:47:00Z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-234390889</vt:i4>
  </property>
  <property fmtid="{D5CDD505-2E9C-101B-9397-08002B2CF9AE}" pid="3" name="_NewReviewCycle">
    <vt:lpwstr/>
  </property>
  <property fmtid="{D5CDD505-2E9C-101B-9397-08002B2CF9AE}" pid="4" name="_EmailSubject">
    <vt:lpwstr>changes</vt:lpwstr>
  </property>
  <property fmtid="{D5CDD505-2E9C-101B-9397-08002B2CF9AE}" pid="5" name="_AuthorEmail">
    <vt:lpwstr>Brent.D.Mast@hud.gov</vt:lpwstr>
  </property>
  <property fmtid="{D5CDD505-2E9C-101B-9397-08002B2CF9AE}" pid="6" name="_AuthorEmailDisplayName">
    <vt:lpwstr>Mast, Brent D</vt:lpwstr>
  </property>
</Properties>
</file>